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5ABF" w:rsidRDefault="006C4F0E" w:rsidP="00D610E7">
      <w:pPr>
        <w:jc w:val="center"/>
        <w:rPr>
          <w:lang w:val="en-US"/>
        </w:rPr>
      </w:pPr>
      <w:r>
        <w:rPr>
          <w:noProof/>
          <w:lang w:val="de-AT" w:eastAsia="de-AT"/>
        </w:rPr>
        <w:drawing>
          <wp:anchor distT="0" distB="0" distL="114300" distR="114300" simplePos="0" relativeHeight="251659264" behindDoc="1" locked="0" layoutInCell="1" allowOverlap="1">
            <wp:simplePos x="0" y="0"/>
            <wp:positionH relativeFrom="column">
              <wp:posOffset>4681855</wp:posOffset>
            </wp:positionH>
            <wp:positionV relativeFrom="paragraph">
              <wp:posOffset>-423545</wp:posOffset>
            </wp:positionV>
            <wp:extent cx="1409700" cy="1323975"/>
            <wp:effectExtent l="19050" t="0" r="0" b="0"/>
            <wp:wrapTight wrapText="bothSides">
              <wp:wrapPolygon edited="0">
                <wp:start x="-292" y="0"/>
                <wp:lineTo x="-292" y="21134"/>
                <wp:lineTo x="21600" y="21134"/>
                <wp:lineTo x="21600" y="0"/>
                <wp:lineTo x="-292" y="0"/>
              </wp:wrapPolygon>
            </wp:wrapTight>
            <wp:docPr id="1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1409700" cy="1323975"/>
                    </a:xfrm>
                    <a:prstGeom prst="rect">
                      <a:avLst/>
                    </a:prstGeom>
                    <a:noFill/>
                    <a:ln w="9525">
                      <a:noFill/>
                      <a:miter lim="800000"/>
                      <a:headEnd/>
                      <a:tailEnd/>
                    </a:ln>
                  </pic:spPr>
                </pic:pic>
              </a:graphicData>
            </a:graphic>
          </wp:anchor>
        </w:drawing>
      </w:r>
      <w:r>
        <w:rPr>
          <w:noProof/>
          <w:lang w:val="de-AT" w:eastAsia="de-AT"/>
        </w:rPr>
        <w:drawing>
          <wp:anchor distT="0" distB="0" distL="114300" distR="114300" simplePos="0" relativeHeight="251658240" behindDoc="1" locked="0" layoutInCell="1" allowOverlap="1">
            <wp:simplePos x="0" y="0"/>
            <wp:positionH relativeFrom="column">
              <wp:posOffset>-366395</wp:posOffset>
            </wp:positionH>
            <wp:positionV relativeFrom="paragraph">
              <wp:posOffset>-318770</wp:posOffset>
            </wp:positionV>
            <wp:extent cx="3219450" cy="714375"/>
            <wp:effectExtent l="19050" t="0" r="0" b="0"/>
            <wp:wrapTight wrapText="bothSides">
              <wp:wrapPolygon edited="0">
                <wp:start x="-128" y="0"/>
                <wp:lineTo x="-128" y="21312"/>
                <wp:lineTo x="21600" y="21312"/>
                <wp:lineTo x="21600" y="0"/>
                <wp:lineTo x="-128" y="0"/>
              </wp:wrapPolygon>
            </wp:wrapTight>
            <wp:docPr id="1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3219450" cy="714375"/>
                    </a:xfrm>
                    <a:prstGeom prst="rect">
                      <a:avLst/>
                    </a:prstGeom>
                    <a:noFill/>
                    <a:ln w="9525">
                      <a:noFill/>
                      <a:miter lim="800000"/>
                      <a:headEnd/>
                      <a:tailEnd/>
                    </a:ln>
                  </pic:spPr>
                </pic:pic>
              </a:graphicData>
            </a:graphic>
          </wp:anchor>
        </w:drawing>
      </w:r>
    </w:p>
    <w:p w:rsidR="00B25ABF" w:rsidRDefault="00B25ABF" w:rsidP="00D610E7">
      <w:pPr>
        <w:jc w:val="center"/>
        <w:rPr>
          <w:lang w:val="en-US"/>
        </w:rPr>
      </w:pPr>
    </w:p>
    <w:p w:rsidR="00B25ABF" w:rsidRDefault="00B25ABF" w:rsidP="00D610E7">
      <w:pPr>
        <w:jc w:val="center"/>
        <w:rPr>
          <w:lang w:val="en-US"/>
        </w:rPr>
      </w:pPr>
    </w:p>
    <w:p w:rsidR="00B25ABF" w:rsidRDefault="00B25ABF" w:rsidP="00D610E7">
      <w:pPr>
        <w:jc w:val="center"/>
        <w:rPr>
          <w:lang w:val="en-US"/>
        </w:rPr>
      </w:pPr>
    </w:p>
    <w:p w:rsidR="00B25ABF" w:rsidRDefault="00B25ABF" w:rsidP="00D610E7">
      <w:pPr>
        <w:jc w:val="center"/>
        <w:rPr>
          <w:lang w:val="en-US"/>
        </w:rPr>
      </w:pPr>
    </w:p>
    <w:p w:rsidR="00993612" w:rsidRDefault="00993612" w:rsidP="00D610E7">
      <w:pPr>
        <w:jc w:val="center"/>
        <w:rPr>
          <w:lang w:val="en-US"/>
        </w:rPr>
      </w:pPr>
    </w:p>
    <w:p w:rsidR="00993612" w:rsidRDefault="00993612" w:rsidP="00D610E7">
      <w:pPr>
        <w:jc w:val="center"/>
        <w:rPr>
          <w:lang w:val="en-US"/>
        </w:rPr>
      </w:pPr>
    </w:p>
    <w:p w:rsidR="009333AE" w:rsidRPr="004558EF" w:rsidRDefault="009333AE" w:rsidP="00D610E7">
      <w:pPr>
        <w:jc w:val="center"/>
        <w:rPr>
          <w:sz w:val="32"/>
          <w:lang w:val="en-US"/>
        </w:rPr>
      </w:pPr>
    </w:p>
    <w:p w:rsidR="00B25ABF" w:rsidRPr="00EE2855" w:rsidRDefault="00B25ABF" w:rsidP="00B25ABF">
      <w:pPr>
        <w:jc w:val="center"/>
        <w:rPr>
          <w:b/>
          <w:sz w:val="40"/>
          <w:szCs w:val="40"/>
          <w:lang w:val="en-US"/>
        </w:rPr>
      </w:pPr>
      <w:r w:rsidRPr="00EE2855">
        <w:rPr>
          <w:b/>
          <w:sz w:val="40"/>
          <w:szCs w:val="40"/>
          <w:lang w:val="en-US"/>
        </w:rPr>
        <w:t>Production of biofuels in AT &amp; CZ and its impact on the food market</w:t>
      </w:r>
    </w:p>
    <w:p w:rsidR="00B25ABF" w:rsidRDefault="00B25ABF" w:rsidP="00B25ABF">
      <w:pPr>
        <w:jc w:val="center"/>
        <w:rPr>
          <w:b/>
          <w:sz w:val="24"/>
          <w:szCs w:val="24"/>
          <w:lang w:val="en-US"/>
        </w:rPr>
      </w:pPr>
    </w:p>
    <w:p w:rsidR="003C62CC" w:rsidRDefault="003C62CC" w:rsidP="00B25ABF">
      <w:pPr>
        <w:jc w:val="center"/>
        <w:rPr>
          <w:b/>
          <w:sz w:val="24"/>
          <w:szCs w:val="24"/>
          <w:lang w:val="en-US"/>
        </w:rPr>
      </w:pPr>
    </w:p>
    <w:p w:rsidR="003C62CC" w:rsidRDefault="003C62CC" w:rsidP="00B25ABF">
      <w:pPr>
        <w:jc w:val="center"/>
        <w:rPr>
          <w:b/>
          <w:sz w:val="24"/>
          <w:szCs w:val="24"/>
          <w:lang w:val="en-US"/>
        </w:rPr>
      </w:pPr>
    </w:p>
    <w:p w:rsidR="00B25ABF" w:rsidRDefault="00B25ABF" w:rsidP="00B25ABF">
      <w:pPr>
        <w:jc w:val="center"/>
        <w:rPr>
          <w:b/>
          <w:sz w:val="24"/>
          <w:szCs w:val="24"/>
          <w:lang w:val="en-US"/>
        </w:rPr>
      </w:pPr>
      <w:r>
        <w:rPr>
          <w:b/>
          <w:sz w:val="24"/>
          <w:szCs w:val="24"/>
          <w:lang w:val="en-US"/>
        </w:rPr>
        <w:t>Nora Kandler</w:t>
      </w:r>
    </w:p>
    <w:p w:rsidR="00B25ABF" w:rsidRDefault="00B25ABF" w:rsidP="00B25ABF">
      <w:pPr>
        <w:jc w:val="center"/>
        <w:rPr>
          <w:b/>
          <w:sz w:val="24"/>
          <w:szCs w:val="24"/>
          <w:lang w:val="en-US"/>
        </w:rPr>
      </w:pPr>
      <w:r>
        <w:rPr>
          <w:b/>
          <w:sz w:val="24"/>
          <w:szCs w:val="24"/>
          <w:lang w:val="en-US"/>
        </w:rPr>
        <w:t>Marta Gryčová</w:t>
      </w:r>
    </w:p>
    <w:p w:rsidR="00B25ABF" w:rsidRDefault="00B25ABF" w:rsidP="00B25ABF">
      <w:pPr>
        <w:jc w:val="center"/>
        <w:rPr>
          <w:b/>
          <w:sz w:val="24"/>
          <w:szCs w:val="24"/>
          <w:lang w:val="en-US"/>
        </w:rPr>
      </w:pPr>
    </w:p>
    <w:p w:rsidR="00B25ABF" w:rsidRDefault="00B25ABF" w:rsidP="00B25ABF">
      <w:pPr>
        <w:jc w:val="center"/>
        <w:rPr>
          <w:b/>
          <w:sz w:val="24"/>
          <w:szCs w:val="24"/>
          <w:lang w:val="en-US"/>
        </w:rPr>
      </w:pPr>
    </w:p>
    <w:p w:rsidR="00B25ABF" w:rsidRDefault="00B25ABF" w:rsidP="00B25ABF">
      <w:pPr>
        <w:jc w:val="center"/>
        <w:rPr>
          <w:b/>
          <w:sz w:val="24"/>
          <w:szCs w:val="24"/>
          <w:lang w:val="en-US"/>
        </w:rPr>
      </w:pPr>
    </w:p>
    <w:p w:rsidR="00B25ABF" w:rsidRDefault="00B25ABF" w:rsidP="00B25ABF">
      <w:pPr>
        <w:jc w:val="center"/>
        <w:rPr>
          <w:b/>
          <w:sz w:val="24"/>
          <w:szCs w:val="24"/>
          <w:lang w:val="en-US"/>
        </w:rPr>
      </w:pPr>
    </w:p>
    <w:p w:rsidR="00B25ABF" w:rsidRDefault="00B25ABF" w:rsidP="00B25ABF">
      <w:pPr>
        <w:jc w:val="center"/>
      </w:pPr>
    </w:p>
    <w:p w:rsidR="00B25ABF" w:rsidRPr="00453B80" w:rsidRDefault="00B25ABF" w:rsidP="00B25ABF">
      <w:pPr>
        <w:jc w:val="center"/>
        <w:rPr>
          <w:lang w:val="en-US"/>
        </w:rPr>
      </w:pPr>
      <w:r w:rsidRPr="00453B80">
        <w:rPr>
          <w:rFonts w:cs="Arial"/>
          <w:sz w:val="28"/>
          <w:szCs w:val="28"/>
          <w:lang w:val="en-US"/>
        </w:rPr>
        <w:t>Co-operating Universities</w:t>
      </w:r>
    </w:p>
    <w:p w:rsidR="00B25ABF" w:rsidRPr="00453B80" w:rsidRDefault="00B25ABF" w:rsidP="00B25ABF">
      <w:pPr>
        <w:rPr>
          <w:lang w:val="en-US"/>
        </w:rPr>
      </w:pPr>
    </w:p>
    <w:p w:rsidR="00B25ABF" w:rsidRPr="00453B80" w:rsidRDefault="00B25ABF" w:rsidP="00B25ABF">
      <w:pPr>
        <w:jc w:val="center"/>
        <w:rPr>
          <w:lang w:val="en-US"/>
        </w:rPr>
      </w:pPr>
      <w:r>
        <w:rPr>
          <w:noProof/>
          <w:lang w:val="de-AT" w:eastAsia="de-AT"/>
        </w:rPr>
        <w:drawing>
          <wp:inline distT="0" distB="0" distL="0" distR="0">
            <wp:extent cx="904875" cy="819150"/>
            <wp:effectExtent l="19050" t="0" r="9525" b="0"/>
            <wp:docPr id="2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904875" cy="819150"/>
                    </a:xfrm>
                    <a:prstGeom prst="rect">
                      <a:avLst/>
                    </a:prstGeom>
                    <a:noFill/>
                    <a:ln w="9525">
                      <a:noFill/>
                      <a:miter lim="800000"/>
                      <a:headEnd/>
                      <a:tailEnd/>
                    </a:ln>
                  </pic:spPr>
                </pic:pic>
              </a:graphicData>
            </a:graphic>
          </wp:inline>
        </w:drawing>
      </w:r>
      <w:r w:rsidRPr="00453B80">
        <w:rPr>
          <w:lang w:val="en-US"/>
        </w:rPr>
        <w:t xml:space="preserve">         </w:t>
      </w:r>
      <w:r>
        <w:rPr>
          <w:noProof/>
          <w:lang w:val="de-AT" w:eastAsia="de-AT"/>
        </w:rPr>
        <w:drawing>
          <wp:inline distT="0" distB="0" distL="0" distR="0">
            <wp:extent cx="1152525" cy="857250"/>
            <wp:effectExtent l="19050" t="0" r="0" b="0"/>
            <wp:docPr id="2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1152525" cy="857250"/>
                    </a:xfrm>
                    <a:prstGeom prst="rect">
                      <a:avLst/>
                    </a:prstGeom>
                    <a:noFill/>
                    <a:ln w="9525">
                      <a:noFill/>
                      <a:miter lim="800000"/>
                      <a:headEnd/>
                      <a:tailEnd/>
                    </a:ln>
                  </pic:spPr>
                </pic:pic>
              </a:graphicData>
            </a:graphic>
          </wp:inline>
        </w:drawing>
      </w:r>
      <w:r w:rsidRPr="00453B80">
        <w:rPr>
          <w:lang w:val="en-US"/>
        </w:rPr>
        <w:t xml:space="preserve">       </w:t>
      </w:r>
      <w:r>
        <w:rPr>
          <w:noProof/>
          <w:lang w:val="de-AT" w:eastAsia="de-AT"/>
        </w:rPr>
        <w:drawing>
          <wp:inline distT="0" distB="0" distL="0" distR="0">
            <wp:extent cx="1609725" cy="819150"/>
            <wp:effectExtent l="0" t="0" r="0" b="0"/>
            <wp:docPr id="2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1609725" cy="819150"/>
                    </a:xfrm>
                    <a:prstGeom prst="rect">
                      <a:avLst/>
                    </a:prstGeom>
                    <a:noFill/>
                    <a:ln w="9525">
                      <a:noFill/>
                      <a:miter lim="800000"/>
                      <a:headEnd/>
                      <a:tailEnd/>
                    </a:ln>
                  </pic:spPr>
                </pic:pic>
              </a:graphicData>
            </a:graphic>
          </wp:inline>
        </w:drawing>
      </w:r>
      <w:r w:rsidRPr="00453B80">
        <w:rPr>
          <w:lang w:val="en-US"/>
        </w:rPr>
        <w:t xml:space="preserve">     </w:t>
      </w:r>
      <w:r>
        <w:rPr>
          <w:noProof/>
          <w:lang w:val="de-AT" w:eastAsia="de-AT"/>
        </w:rPr>
        <w:drawing>
          <wp:inline distT="0" distB="0" distL="0" distR="0">
            <wp:extent cx="942975" cy="790575"/>
            <wp:effectExtent l="19050" t="0" r="9525" b="0"/>
            <wp:docPr id="23" name="Bild 4" descr="Logo_G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GRAZ"/>
                    <pic:cNvPicPr>
                      <a:picLocks noChangeAspect="1" noChangeArrowheads="1"/>
                    </pic:cNvPicPr>
                  </pic:nvPicPr>
                  <pic:blipFill>
                    <a:blip r:embed="rId13"/>
                    <a:srcRect/>
                    <a:stretch>
                      <a:fillRect/>
                    </a:stretch>
                  </pic:blipFill>
                  <pic:spPr bwMode="auto">
                    <a:xfrm>
                      <a:off x="0" y="0"/>
                      <a:ext cx="942975" cy="790575"/>
                    </a:xfrm>
                    <a:prstGeom prst="rect">
                      <a:avLst/>
                    </a:prstGeom>
                    <a:noFill/>
                    <a:ln w="9525">
                      <a:noFill/>
                      <a:miter lim="800000"/>
                      <a:headEnd/>
                      <a:tailEnd/>
                    </a:ln>
                  </pic:spPr>
                </pic:pic>
              </a:graphicData>
            </a:graphic>
          </wp:inline>
        </w:drawing>
      </w:r>
    </w:p>
    <w:p w:rsidR="00B25ABF" w:rsidRPr="00453B80" w:rsidRDefault="00B25ABF" w:rsidP="00B25ABF">
      <w:pPr>
        <w:rPr>
          <w:lang w:val="en-US"/>
        </w:rPr>
      </w:pPr>
    </w:p>
    <w:p w:rsidR="00B25ABF" w:rsidRPr="00453B80" w:rsidRDefault="00B25ABF" w:rsidP="00B25ABF">
      <w:pPr>
        <w:rPr>
          <w:lang w:val="en-US"/>
        </w:rPr>
      </w:pPr>
    </w:p>
    <w:p w:rsidR="00B25ABF" w:rsidRPr="00453B80" w:rsidRDefault="00B25ABF" w:rsidP="00B25ABF">
      <w:pPr>
        <w:jc w:val="center"/>
        <w:rPr>
          <w:lang w:val="en-US"/>
        </w:rPr>
      </w:pPr>
    </w:p>
    <w:p w:rsidR="00B25ABF" w:rsidRPr="00453B80" w:rsidRDefault="00B25ABF" w:rsidP="00B25ABF">
      <w:pPr>
        <w:jc w:val="center"/>
        <w:rPr>
          <w:lang w:val="en-US"/>
        </w:rPr>
      </w:pPr>
      <w:r w:rsidRPr="00453B80">
        <w:rPr>
          <w:rFonts w:cs="Arial"/>
          <w:sz w:val="28"/>
          <w:szCs w:val="28"/>
          <w:lang w:val="en-US"/>
        </w:rPr>
        <w:t>Financial support by</w:t>
      </w:r>
    </w:p>
    <w:p w:rsidR="00B25ABF" w:rsidRPr="00453B80" w:rsidRDefault="00B25ABF" w:rsidP="00B25ABF">
      <w:pPr>
        <w:rPr>
          <w:lang w:val="en-US"/>
        </w:rPr>
      </w:pPr>
    </w:p>
    <w:p w:rsidR="00B25ABF" w:rsidRPr="00453B80" w:rsidRDefault="00B25ABF" w:rsidP="00B25ABF">
      <w:pPr>
        <w:jc w:val="center"/>
        <w:rPr>
          <w:lang w:val="en-US"/>
        </w:rPr>
      </w:pPr>
      <w:r>
        <w:rPr>
          <w:noProof/>
          <w:lang w:val="de-AT" w:eastAsia="de-AT"/>
        </w:rPr>
        <w:drawing>
          <wp:inline distT="0" distB="0" distL="0" distR="0">
            <wp:extent cx="1047750" cy="914400"/>
            <wp:effectExtent l="19050" t="0" r="0" b="0"/>
            <wp:docPr id="22"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1047750" cy="914400"/>
                    </a:xfrm>
                    <a:prstGeom prst="rect">
                      <a:avLst/>
                    </a:prstGeom>
                    <a:noFill/>
                    <a:ln w="9525">
                      <a:noFill/>
                      <a:miter lim="800000"/>
                      <a:headEnd/>
                      <a:tailEnd/>
                    </a:ln>
                  </pic:spPr>
                </pic:pic>
              </a:graphicData>
            </a:graphic>
          </wp:inline>
        </w:drawing>
      </w:r>
      <w:r w:rsidRPr="00453B80">
        <w:rPr>
          <w:lang w:val="en-US"/>
        </w:rPr>
        <w:t xml:space="preserve">        </w:t>
      </w:r>
      <w:r>
        <w:rPr>
          <w:noProof/>
          <w:lang w:val="de-AT" w:eastAsia="de-AT"/>
        </w:rPr>
        <w:drawing>
          <wp:inline distT="0" distB="0" distL="0" distR="0">
            <wp:extent cx="1247775" cy="885825"/>
            <wp:effectExtent l="19050" t="0" r="9525" b="0"/>
            <wp:docPr id="20"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1247775" cy="885825"/>
                    </a:xfrm>
                    <a:prstGeom prst="rect">
                      <a:avLst/>
                    </a:prstGeom>
                    <a:noFill/>
                    <a:ln w="9525">
                      <a:noFill/>
                      <a:miter lim="800000"/>
                      <a:headEnd/>
                      <a:tailEnd/>
                    </a:ln>
                  </pic:spPr>
                </pic:pic>
              </a:graphicData>
            </a:graphic>
          </wp:inline>
        </w:drawing>
      </w:r>
    </w:p>
    <w:p w:rsidR="00B25ABF" w:rsidRDefault="00B25ABF" w:rsidP="00D610E7">
      <w:pPr>
        <w:jc w:val="center"/>
        <w:rPr>
          <w:lang w:val="en-US"/>
        </w:rPr>
      </w:pPr>
    </w:p>
    <w:p w:rsidR="00B25ABF" w:rsidRDefault="00B25ABF" w:rsidP="00D610E7">
      <w:pPr>
        <w:jc w:val="center"/>
        <w:rPr>
          <w:lang w:val="en-US"/>
        </w:rPr>
      </w:pPr>
    </w:p>
    <w:p w:rsidR="00B25ABF" w:rsidRDefault="00B25ABF" w:rsidP="00D610E7">
      <w:pPr>
        <w:jc w:val="center"/>
        <w:rPr>
          <w:lang w:val="en-US"/>
        </w:rPr>
      </w:pPr>
    </w:p>
    <w:p w:rsidR="00B25ABF" w:rsidRPr="004558EF" w:rsidRDefault="00B25ABF" w:rsidP="00D610E7">
      <w:pPr>
        <w:jc w:val="center"/>
        <w:rPr>
          <w:lang w:val="en-US"/>
        </w:rPr>
      </w:pPr>
    </w:p>
    <w:p w:rsidR="006F3E2D" w:rsidRPr="00F15115" w:rsidRDefault="00B25ABF" w:rsidP="00B25ABF">
      <w:pPr>
        <w:spacing w:after="0" w:line="240" w:lineRule="auto"/>
        <w:jc w:val="center"/>
        <w:rPr>
          <w:rStyle w:val="AbbildungZchn"/>
        </w:rPr>
      </w:pPr>
      <w:r w:rsidRPr="00F15115">
        <w:rPr>
          <w:rStyle w:val="AbbildungZchn"/>
        </w:rPr>
        <w:t>Prague and Vienna, 2010/2011</w:t>
      </w:r>
      <w:r w:rsidR="009333AE" w:rsidRPr="00F15115">
        <w:rPr>
          <w:rStyle w:val="AbbildungZchn"/>
        </w:rPr>
        <w:br w:type="page"/>
      </w:r>
    </w:p>
    <w:sdt>
      <w:sdtPr>
        <w:rPr>
          <w:rFonts w:ascii="Arial" w:eastAsia="Calibri" w:hAnsi="Arial" w:cs="Times New Roman"/>
          <w:b w:val="0"/>
          <w:bCs w:val="0"/>
          <w:smallCaps w:val="0"/>
          <w:color w:val="auto"/>
          <w:sz w:val="22"/>
          <w:szCs w:val="22"/>
          <w:lang w:val="cs-CZ" w:eastAsia="en-US" w:bidi="en-US"/>
        </w:rPr>
        <w:id w:val="33292844"/>
        <w:docPartObj>
          <w:docPartGallery w:val="Table of Contents"/>
          <w:docPartUnique/>
        </w:docPartObj>
      </w:sdtPr>
      <w:sdtEndPr>
        <w:rPr>
          <w:rFonts w:cs="Arial"/>
        </w:rPr>
      </w:sdtEndPr>
      <w:sdtContent>
        <w:p w:rsidR="006F3E2D" w:rsidRDefault="006F3E2D">
          <w:pPr>
            <w:pStyle w:val="Inhaltsverzeichnisberschrift"/>
          </w:pPr>
          <w:r w:rsidRPr="00AE0DD1">
            <w:rPr>
              <w:rFonts w:ascii="Arial" w:hAnsi="Arial" w:cs="Arial"/>
            </w:rPr>
            <w:t>Content</w:t>
          </w:r>
        </w:p>
        <w:p w:rsidR="00A72B7F" w:rsidRPr="00A72B7F" w:rsidRDefault="00A72B7F" w:rsidP="00A72B7F">
          <w:pPr>
            <w:rPr>
              <w:lang w:val="de-DE" w:eastAsia="ar-SA"/>
            </w:rPr>
          </w:pPr>
        </w:p>
        <w:p w:rsidR="001459D7" w:rsidRPr="001459D7" w:rsidRDefault="002A0101">
          <w:pPr>
            <w:pStyle w:val="Verzeichnis1"/>
            <w:tabs>
              <w:tab w:val="left" w:pos="440"/>
              <w:tab w:val="right" w:leader="dot" w:pos="9062"/>
            </w:tabs>
            <w:rPr>
              <w:rFonts w:eastAsiaTheme="minorEastAsia" w:cs="Arial"/>
              <w:noProof/>
              <w:lang w:val="de-AT" w:eastAsia="de-AT"/>
            </w:rPr>
          </w:pPr>
          <w:r w:rsidRPr="001459D7">
            <w:rPr>
              <w:rFonts w:cs="Arial"/>
              <w:lang w:val="de-DE"/>
            </w:rPr>
            <w:fldChar w:fldCharType="begin"/>
          </w:r>
          <w:r w:rsidR="006F3E2D" w:rsidRPr="001459D7">
            <w:rPr>
              <w:rFonts w:cs="Arial"/>
              <w:lang w:val="de-DE"/>
            </w:rPr>
            <w:instrText xml:space="preserve"> TOC \o "1-3" \h \z \u </w:instrText>
          </w:r>
          <w:r w:rsidRPr="001459D7">
            <w:rPr>
              <w:rFonts w:cs="Arial"/>
              <w:lang w:val="de-DE"/>
            </w:rPr>
            <w:fldChar w:fldCharType="separate"/>
          </w:r>
          <w:hyperlink w:anchor="_Toc294469061" w:history="1">
            <w:r w:rsidR="001459D7" w:rsidRPr="001459D7">
              <w:rPr>
                <w:rStyle w:val="Hyperlink"/>
                <w:rFonts w:cs="Arial"/>
                <w:noProof/>
                <w:lang w:val="en-US"/>
              </w:rPr>
              <w:t>1.</w:t>
            </w:r>
            <w:r w:rsidR="001459D7" w:rsidRPr="001459D7">
              <w:rPr>
                <w:rFonts w:eastAsiaTheme="minorEastAsia" w:cs="Arial"/>
                <w:noProof/>
                <w:lang w:val="de-AT" w:eastAsia="de-AT"/>
              </w:rPr>
              <w:tab/>
            </w:r>
            <w:r w:rsidR="001459D7" w:rsidRPr="001459D7">
              <w:rPr>
                <w:rStyle w:val="Hyperlink"/>
                <w:rFonts w:cs="Arial"/>
                <w:noProof/>
                <w:lang w:val="en-US"/>
              </w:rPr>
              <w:t>Motivation</w:t>
            </w:r>
            <w:r w:rsidR="001459D7" w:rsidRPr="001459D7">
              <w:rPr>
                <w:rFonts w:cs="Arial"/>
                <w:noProof/>
                <w:webHidden/>
              </w:rPr>
              <w:tab/>
            </w:r>
            <w:r w:rsidRPr="001459D7">
              <w:rPr>
                <w:rFonts w:cs="Arial"/>
                <w:noProof/>
                <w:webHidden/>
              </w:rPr>
              <w:fldChar w:fldCharType="begin"/>
            </w:r>
            <w:r w:rsidR="001459D7" w:rsidRPr="001459D7">
              <w:rPr>
                <w:rFonts w:cs="Arial"/>
                <w:noProof/>
                <w:webHidden/>
              </w:rPr>
              <w:instrText xml:space="preserve"> PAGEREF _Toc294469061 \h </w:instrText>
            </w:r>
            <w:r w:rsidRPr="001459D7">
              <w:rPr>
                <w:rFonts w:cs="Arial"/>
                <w:noProof/>
                <w:webHidden/>
              </w:rPr>
            </w:r>
            <w:r w:rsidRPr="001459D7">
              <w:rPr>
                <w:rFonts w:cs="Arial"/>
                <w:noProof/>
                <w:webHidden/>
              </w:rPr>
              <w:fldChar w:fldCharType="separate"/>
            </w:r>
            <w:r w:rsidR="001459D7" w:rsidRPr="001459D7">
              <w:rPr>
                <w:rFonts w:cs="Arial"/>
                <w:noProof/>
                <w:webHidden/>
              </w:rPr>
              <w:t>2</w:t>
            </w:r>
            <w:r w:rsidRPr="001459D7">
              <w:rPr>
                <w:rFonts w:cs="Arial"/>
                <w:noProof/>
                <w:webHidden/>
              </w:rPr>
              <w:fldChar w:fldCharType="end"/>
            </w:r>
          </w:hyperlink>
        </w:p>
        <w:p w:rsidR="001459D7" w:rsidRPr="001459D7" w:rsidRDefault="002A0101">
          <w:pPr>
            <w:pStyle w:val="Verzeichnis1"/>
            <w:tabs>
              <w:tab w:val="left" w:pos="440"/>
              <w:tab w:val="right" w:leader="dot" w:pos="9062"/>
            </w:tabs>
            <w:rPr>
              <w:rFonts w:eastAsiaTheme="minorEastAsia" w:cs="Arial"/>
              <w:noProof/>
              <w:lang w:val="de-AT" w:eastAsia="de-AT"/>
            </w:rPr>
          </w:pPr>
          <w:hyperlink w:anchor="_Toc294469062" w:history="1">
            <w:r w:rsidR="001459D7" w:rsidRPr="001459D7">
              <w:rPr>
                <w:rStyle w:val="Hyperlink"/>
                <w:rFonts w:cs="Arial"/>
                <w:noProof/>
                <w:lang w:val="en-US"/>
              </w:rPr>
              <w:t>2.</w:t>
            </w:r>
            <w:r w:rsidR="001459D7" w:rsidRPr="001459D7">
              <w:rPr>
                <w:rFonts w:eastAsiaTheme="minorEastAsia" w:cs="Arial"/>
                <w:noProof/>
                <w:lang w:val="de-AT" w:eastAsia="de-AT"/>
              </w:rPr>
              <w:tab/>
            </w:r>
            <w:r w:rsidR="001459D7" w:rsidRPr="001459D7">
              <w:rPr>
                <w:rStyle w:val="Hyperlink"/>
                <w:rFonts w:cs="Arial"/>
                <w:noProof/>
                <w:lang w:val="en-US"/>
              </w:rPr>
              <w:t>Methodology</w:t>
            </w:r>
            <w:r w:rsidR="001459D7" w:rsidRPr="001459D7">
              <w:rPr>
                <w:rFonts w:cs="Arial"/>
                <w:noProof/>
                <w:webHidden/>
              </w:rPr>
              <w:tab/>
            </w:r>
            <w:r w:rsidRPr="001459D7">
              <w:rPr>
                <w:rFonts w:cs="Arial"/>
                <w:noProof/>
                <w:webHidden/>
              </w:rPr>
              <w:fldChar w:fldCharType="begin"/>
            </w:r>
            <w:r w:rsidR="001459D7" w:rsidRPr="001459D7">
              <w:rPr>
                <w:rFonts w:cs="Arial"/>
                <w:noProof/>
                <w:webHidden/>
              </w:rPr>
              <w:instrText xml:space="preserve"> PAGEREF _Toc294469062 \h </w:instrText>
            </w:r>
            <w:r w:rsidRPr="001459D7">
              <w:rPr>
                <w:rFonts w:cs="Arial"/>
                <w:noProof/>
                <w:webHidden/>
              </w:rPr>
            </w:r>
            <w:r w:rsidRPr="001459D7">
              <w:rPr>
                <w:rFonts w:cs="Arial"/>
                <w:noProof/>
                <w:webHidden/>
              </w:rPr>
              <w:fldChar w:fldCharType="separate"/>
            </w:r>
            <w:r w:rsidR="001459D7" w:rsidRPr="001459D7">
              <w:rPr>
                <w:rFonts w:cs="Arial"/>
                <w:noProof/>
                <w:webHidden/>
              </w:rPr>
              <w:t>2</w:t>
            </w:r>
            <w:r w:rsidRPr="001459D7">
              <w:rPr>
                <w:rFonts w:cs="Arial"/>
                <w:noProof/>
                <w:webHidden/>
              </w:rPr>
              <w:fldChar w:fldCharType="end"/>
            </w:r>
          </w:hyperlink>
        </w:p>
        <w:p w:rsidR="001459D7" w:rsidRPr="001459D7" w:rsidRDefault="002A0101">
          <w:pPr>
            <w:pStyle w:val="Verzeichnis1"/>
            <w:tabs>
              <w:tab w:val="left" w:pos="440"/>
              <w:tab w:val="right" w:leader="dot" w:pos="9062"/>
            </w:tabs>
            <w:rPr>
              <w:rFonts w:eastAsiaTheme="minorEastAsia" w:cs="Arial"/>
              <w:noProof/>
              <w:lang w:val="de-AT" w:eastAsia="de-AT"/>
            </w:rPr>
          </w:pPr>
          <w:hyperlink w:anchor="_Toc294469063" w:history="1">
            <w:r w:rsidR="001459D7" w:rsidRPr="001459D7">
              <w:rPr>
                <w:rStyle w:val="Hyperlink"/>
                <w:rFonts w:cs="Arial"/>
                <w:noProof/>
              </w:rPr>
              <w:t>3.</w:t>
            </w:r>
            <w:r w:rsidR="001459D7" w:rsidRPr="001459D7">
              <w:rPr>
                <w:rFonts w:eastAsiaTheme="minorEastAsia" w:cs="Arial"/>
                <w:noProof/>
                <w:lang w:val="de-AT" w:eastAsia="de-AT"/>
              </w:rPr>
              <w:tab/>
            </w:r>
            <w:r w:rsidR="001459D7" w:rsidRPr="001459D7">
              <w:rPr>
                <w:rStyle w:val="Hyperlink"/>
                <w:rFonts w:cs="Arial"/>
                <w:noProof/>
              </w:rPr>
              <w:t>Introduction</w:t>
            </w:r>
            <w:r w:rsidR="001459D7" w:rsidRPr="001459D7">
              <w:rPr>
                <w:rFonts w:cs="Arial"/>
                <w:noProof/>
                <w:webHidden/>
              </w:rPr>
              <w:tab/>
            </w:r>
            <w:r w:rsidRPr="001459D7">
              <w:rPr>
                <w:rFonts w:cs="Arial"/>
                <w:noProof/>
                <w:webHidden/>
              </w:rPr>
              <w:fldChar w:fldCharType="begin"/>
            </w:r>
            <w:r w:rsidR="001459D7" w:rsidRPr="001459D7">
              <w:rPr>
                <w:rFonts w:cs="Arial"/>
                <w:noProof/>
                <w:webHidden/>
              </w:rPr>
              <w:instrText xml:space="preserve"> PAGEREF _Toc294469063 \h </w:instrText>
            </w:r>
            <w:r w:rsidRPr="001459D7">
              <w:rPr>
                <w:rFonts w:cs="Arial"/>
                <w:noProof/>
                <w:webHidden/>
              </w:rPr>
            </w:r>
            <w:r w:rsidRPr="001459D7">
              <w:rPr>
                <w:rFonts w:cs="Arial"/>
                <w:noProof/>
                <w:webHidden/>
              </w:rPr>
              <w:fldChar w:fldCharType="separate"/>
            </w:r>
            <w:r w:rsidR="001459D7" w:rsidRPr="001459D7">
              <w:rPr>
                <w:rFonts w:cs="Arial"/>
                <w:noProof/>
                <w:webHidden/>
              </w:rPr>
              <w:t>2</w:t>
            </w:r>
            <w:r w:rsidRPr="001459D7">
              <w:rPr>
                <w:rFonts w:cs="Arial"/>
                <w:noProof/>
                <w:webHidden/>
              </w:rPr>
              <w:fldChar w:fldCharType="end"/>
            </w:r>
          </w:hyperlink>
        </w:p>
        <w:p w:rsidR="001459D7" w:rsidRPr="001459D7" w:rsidRDefault="002A0101">
          <w:pPr>
            <w:pStyle w:val="Verzeichnis2"/>
            <w:tabs>
              <w:tab w:val="right" w:leader="dot" w:pos="9062"/>
            </w:tabs>
            <w:rPr>
              <w:rFonts w:ascii="Arial" w:hAnsi="Arial" w:cs="Arial"/>
              <w:noProof/>
              <w:lang w:val="de-AT" w:eastAsia="de-AT"/>
            </w:rPr>
          </w:pPr>
          <w:hyperlink w:anchor="_Toc294469064" w:history="1">
            <w:r w:rsidR="001459D7" w:rsidRPr="001459D7">
              <w:rPr>
                <w:rStyle w:val="Hyperlink"/>
                <w:rFonts w:ascii="Arial" w:hAnsi="Arial" w:cs="Arial"/>
                <w:noProof/>
                <w:lang w:val="en-US"/>
              </w:rPr>
              <w:t xml:space="preserve">Biofuels around the </w:t>
            </w:r>
            <w:r w:rsidR="001459D7" w:rsidRPr="001459D7">
              <w:rPr>
                <w:rStyle w:val="Hyperlink"/>
                <w:rFonts w:ascii="Arial" w:hAnsi="Arial" w:cs="Arial"/>
                <w:noProof/>
              </w:rPr>
              <w:t>world</w:t>
            </w:r>
            <w:r w:rsidR="001459D7" w:rsidRPr="001459D7">
              <w:rPr>
                <w:rFonts w:ascii="Arial" w:hAnsi="Arial" w:cs="Arial"/>
                <w:noProof/>
                <w:webHidden/>
              </w:rPr>
              <w:tab/>
            </w:r>
            <w:r w:rsidRPr="001459D7">
              <w:rPr>
                <w:rFonts w:ascii="Arial" w:hAnsi="Arial" w:cs="Arial"/>
                <w:noProof/>
                <w:webHidden/>
              </w:rPr>
              <w:fldChar w:fldCharType="begin"/>
            </w:r>
            <w:r w:rsidR="001459D7" w:rsidRPr="001459D7">
              <w:rPr>
                <w:rFonts w:ascii="Arial" w:hAnsi="Arial" w:cs="Arial"/>
                <w:noProof/>
                <w:webHidden/>
              </w:rPr>
              <w:instrText xml:space="preserve"> PAGEREF _Toc294469064 \h </w:instrText>
            </w:r>
            <w:r w:rsidRPr="001459D7">
              <w:rPr>
                <w:rFonts w:ascii="Arial" w:hAnsi="Arial" w:cs="Arial"/>
                <w:noProof/>
                <w:webHidden/>
              </w:rPr>
            </w:r>
            <w:r w:rsidRPr="001459D7">
              <w:rPr>
                <w:rFonts w:ascii="Arial" w:hAnsi="Arial" w:cs="Arial"/>
                <w:noProof/>
                <w:webHidden/>
              </w:rPr>
              <w:fldChar w:fldCharType="separate"/>
            </w:r>
            <w:r w:rsidR="001459D7" w:rsidRPr="001459D7">
              <w:rPr>
                <w:rFonts w:ascii="Arial" w:hAnsi="Arial" w:cs="Arial"/>
                <w:noProof/>
                <w:webHidden/>
              </w:rPr>
              <w:t>4</w:t>
            </w:r>
            <w:r w:rsidRPr="001459D7">
              <w:rPr>
                <w:rFonts w:ascii="Arial" w:hAnsi="Arial" w:cs="Arial"/>
                <w:noProof/>
                <w:webHidden/>
              </w:rPr>
              <w:fldChar w:fldCharType="end"/>
            </w:r>
          </w:hyperlink>
        </w:p>
        <w:p w:rsidR="001459D7" w:rsidRPr="001459D7" w:rsidRDefault="002A0101">
          <w:pPr>
            <w:pStyle w:val="Verzeichnis2"/>
            <w:tabs>
              <w:tab w:val="right" w:leader="dot" w:pos="9062"/>
            </w:tabs>
            <w:rPr>
              <w:rFonts w:ascii="Arial" w:hAnsi="Arial" w:cs="Arial"/>
              <w:noProof/>
              <w:lang w:val="de-AT" w:eastAsia="de-AT"/>
            </w:rPr>
          </w:pPr>
          <w:hyperlink w:anchor="_Toc294469065" w:history="1">
            <w:r w:rsidR="001459D7" w:rsidRPr="001459D7">
              <w:rPr>
                <w:rStyle w:val="Hyperlink"/>
                <w:rFonts w:ascii="Arial" w:hAnsi="Arial" w:cs="Arial"/>
                <w:noProof/>
                <w:lang w:val="en-US"/>
              </w:rPr>
              <w:t>Advantages and disadvantages of the 1</w:t>
            </w:r>
            <w:r w:rsidR="001459D7" w:rsidRPr="001459D7">
              <w:rPr>
                <w:rStyle w:val="Hyperlink"/>
                <w:rFonts w:ascii="Arial" w:hAnsi="Arial" w:cs="Arial"/>
                <w:noProof/>
                <w:vertAlign w:val="superscript"/>
                <w:lang w:val="en-US"/>
              </w:rPr>
              <w:t>st</w:t>
            </w:r>
            <w:r w:rsidR="001459D7" w:rsidRPr="001459D7">
              <w:rPr>
                <w:rStyle w:val="Hyperlink"/>
                <w:rFonts w:ascii="Arial" w:hAnsi="Arial" w:cs="Arial"/>
                <w:noProof/>
                <w:lang w:val="en-US"/>
              </w:rPr>
              <w:t xml:space="preserve"> generation</w:t>
            </w:r>
            <w:r w:rsidR="001459D7" w:rsidRPr="001459D7">
              <w:rPr>
                <w:rFonts w:ascii="Arial" w:hAnsi="Arial" w:cs="Arial"/>
                <w:noProof/>
                <w:webHidden/>
              </w:rPr>
              <w:tab/>
            </w:r>
            <w:r w:rsidRPr="001459D7">
              <w:rPr>
                <w:rFonts w:ascii="Arial" w:hAnsi="Arial" w:cs="Arial"/>
                <w:noProof/>
                <w:webHidden/>
              </w:rPr>
              <w:fldChar w:fldCharType="begin"/>
            </w:r>
            <w:r w:rsidR="001459D7" w:rsidRPr="001459D7">
              <w:rPr>
                <w:rFonts w:ascii="Arial" w:hAnsi="Arial" w:cs="Arial"/>
                <w:noProof/>
                <w:webHidden/>
              </w:rPr>
              <w:instrText xml:space="preserve"> PAGEREF _Toc294469065 \h </w:instrText>
            </w:r>
            <w:r w:rsidRPr="001459D7">
              <w:rPr>
                <w:rFonts w:ascii="Arial" w:hAnsi="Arial" w:cs="Arial"/>
                <w:noProof/>
                <w:webHidden/>
              </w:rPr>
            </w:r>
            <w:r w:rsidRPr="001459D7">
              <w:rPr>
                <w:rFonts w:ascii="Arial" w:hAnsi="Arial" w:cs="Arial"/>
                <w:noProof/>
                <w:webHidden/>
              </w:rPr>
              <w:fldChar w:fldCharType="separate"/>
            </w:r>
            <w:r w:rsidR="001459D7" w:rsidRPr="001459D7">
              <w:rPr>
                <w:rFonts w:ascii="Arial" w:hAnsi="Arial" w:cs="Arial"/>
                <w:noProof/>
                <w:webHidden/>
              </w:rPr>
              <w:t>5</w:t>
            </w:r>
            <w:r w:rsidRPr="001459D7">
              <w:rPr>
                <w:rFonts w:ascii="Arial" w:hAnsi="Arial" w:cs="Arial"/>
                <w:noProof/>
                <w:webHidden/>
              </w:rPr>
              <w:fldChar w:fldCharType="end"/>
            </w:r>
          </w:hyperlink>
        </w:p>
        <w:p w:rsidR="001459D7" w:rsidRPr="001459D7" w:rsidRDefault="002A0101">
          <w:pPr>
            <w:pStyle w:val="Verzeichnis2"/>
            <w:tabs>
              <w:tab w:val="right" w:leader="dot" w:pos="9062"/>
            </w:tabs>
            <w:rPr>
              <w:rFonts w:ascii="Arial" w:hAnsi="Arial" w:cs="Arial"/>
              <w:noProof/>
              <w:lang w:val="de-AT" w:eastAsia="de-AT"/>
            </w:rPr>
          </w:pPr>
          <w:hyperlink w:anchor="_Toc294469066" w:history="1">
            <w:r w:rsidR="001459D7" w:rsidRPr="001459D7">
              <w:rPr>
                <w:rStyle w:val="Hyperlink"/>
                <w:rFonts w:ascii="Arial" w:hAnsi="Arial" w:cs="Arial"/>
                <w:noProof/>
                <w:lang w:val="en-US"/>
              </w:rPr>
              <w:t>Advantages and disadvantages of the 2</w:t>
            </w:r>
            <w:r w:rsidR="001459D7" w:rsidRPr="001459D7">
              <w:rPr>
                <w:rStyle w:val="Hyperlink"/>
                <w:rFonts w:ascii="Arial" w:hAnsi="Arial" w:cs="Arial"/>
                <w:noProof/>
                <w:vertAlign w:val="superscript"/>
                <w:lang w:val="en-US"/>
              </w:rPr>
              <w:t>nd</w:t>
            </w:r>
            <w:r w:rsidR="001459D7" w:rsidRPr="001459D7">
              <w:rPr>
                <w:rStyle w:val="Hyperlink"/>
                <w:rFonts w:ascii="Arial" w:hAnsi="Arial" w:cs="Arial"/>
                <w:noProof/>
                <w:lang w:val="en-US"/>
              </w:rPr>
              <w:t xml:space="preserve"> generation</w:t>
            </w:r>
            <w:r w:rsidR="001459D7" w:rsidRPr="001459D7">
              <w:rPr>
                <w:rFonts w:ascii="Arial" w:hAnsi="Arial" w:cs="Arial"/>
                <w:noProof/>
                <w:webHidden/>
              </w:rPr>
              <w:tab/>
            </w:r>
            <w:r w:rsidRPr="001459D7">
              <w:rPr>
                <w:rFonts w:ascii="Arial" w:hAnsi="Arial" w:cs="Arial"/>
                <w:noProof/>
                <w:webHidden/>
              </w:rPr>
              <w:fldChar w:fldCharType="begin"/>
            </w:r>
            <w:r w:rsidR="001459D7" w:rsidRPr="001459D7">
              <w:rPr>
                <w:rFonts w:ascii="Arial" w:hAnsi="Arial" w:cs="Arial"/>
                <w:noProof/>
                <w:webHidden/>
              </w:rPr>
              <w:instrText xml:space="preserve"> PAGEREF _Toc294469066 \h </w:instrText>
            </w:r>
            <w:r w:rsidRPr="001459D7">
              <w:rPr>
                <w:rFonts w:ascii="Arial" w:hAnsi="Arial" w:cs="Arial"/>
                <w:noProof/>
                <w:webHidden/>
              </w:rPr>
            </w:r>
            <w:r w:rsidRPr="001459D7">
              <w:rPr>
                <w:rFonts w:ascii="Arial" w:hAnsi="Arial" w:cs="Arial"/>
                <w:noProof/>
                <w:webHidden/>
              </w:rPr>
              <w:fldChar w:fldCharType="separate"/>
            </w:r>
            <w:r w:rsidR="001459D7" w:rsidRPr="001459D7">
              <w:rPr>
                <w:rFonts w:ascii="Arial" w:hAnsi="Arial" w:cs="Arial"/>
                <w:noProof/>
                <w:webHidden/>
              </w:rPr>
              <w:t>7</w:t>
            </w:r>
            <w:r w:rsidRPr="001459D7">
              <w:rPr>
                <w:rFonts w:ascii="Arial" w:hAnsi="Arial" w:cs="Arial"/>
                <w:noProof/>
                <w:webHidden/>
              </w:rPr>
              <w:fldChar w:fldCharType="end"/>
            </w:r>
          </w:hyperlink>
        </w:p>
        <w:p w:rsidR="001459D7" w:rsidRPr="001459D7" w:rsidRDefault="002A0101">
          <w:pPr>
            <w:pStyle w:val="Verzeichnis3"/>
            <w:tabs>
              <w:tab w:val="right" w:leader="dot" w:pos="9062"/>
            </w:tabs>
            <w:rPr>
              <w:rFonts w:ascii="Arial" w:hAnsi="Arial" w:cs="Arial"/>
              <w:noProof/>
              <w:lang w:val="de-AT" w:eastAsia="de-AT"/>
            </w:rPr>
          </w:pPr>
          <w:hyperlink w:anchor="_Toc294469067" w:history="1">
            <w:r w:rsidR="001459D7" w:rsidRPr="001459D7">
              <w:rPr>
                <w:rStyle w:val="Hyperlink"/>
                <w:rFonts w:ascii="Arial" w:hAnsi="Arial" w:cs="Arial"/>
                <w:noProof/>
              </w:rPr>
              <w:t>Production costs and potentials</w:t>
            </w:r>
            <w:r w:rsidR="001459D7" w:rsidRPr="001459D7">
              <w:rPr>
                <w:rFonts w:ascii="Arial" w:hAnsi="Arial" w:cs="Arial"/>
                <w:noProof/>
                <w:webHidden/>
              </w:rPr>
              <w:tab/>
            </w:r>
            <w:r w:rsidRPr="001459D7">
              <w:rPr>
                <w:rFonts w:ascii="Arial" w:hAnsi="Arial" w:cs="Arial"/>
                <w:noProof/>
                <w:webHidden/>
              </w:rPr>
              <w:fldChar w:fldCharType="begin"/>
            </w:r>
            <w:r w:rsidR="001459D7" w:rsidRPr="001459D7">
              <w:rPr>
                <w:rFonts w:ascii="Arial" w:hAnsi="Arial" w:cs="Arial"/>
                <w:noProof/>
                <w:webHidden/>
              </w:rPr>
              <w:instrText xml:space="preserve"> PAGEREF _Toc294469067 \h </w:instrText>
            </w:r>
            <w:r w:rsidRPr="001459D7">
              <w:rPr>
                <w:rFonts w:ascii="Arial" w:hAnsi="Arial" w:cs="Arial"/>
                <w:noProof/>
                <w:webHidden/>
              </w:rPr>
            </w:r>
            <w:r w:rsidRPr="001459D7">
              <w:rPr>
                <w:rFonts w:ascii="Arial" w:hAnsi="Arial" w:cs="Arial"/>
                <w:noProof/>
                <w:webHidden/>
              </w:rPr>
              <w:fldChar w:fldCharType="separate"/>
            </w:r>
            <w:r w:rsidR="001459D7" w:rsidRPr="001459D7">
              <w:rPr>
                <w:rFonts w:ascii="Arial" w:hAnsi="Arial" w:cs="Arial"/>
                <w:noProof/>
                <w:webHidden/>
              </w:rPr>
              <w:t>7</w:t>
            </w:r>
            <w:r w:rsidRPr="001459D7">
              <w:rPr>
                <w:rFonts w:ascii="Arial" w:hAnsi="Arial" w:cs="Arial"/>
                <w:noProof/>
                <w:webHidden/>
              </w:rPr>
              <w:fldChar w:fldCharType="end"/>
            </w:r>
          </w:hyperlink>
        </w:p>
        <w:p w:rsidR="001459D7" w:rsidRPr="001459D7" w:rsidRDefault="002A0101">
          <w:pPr>
            <w:pStyle w:val="Verzeichnis3"/>
            <w:tabs>
              <w:tab w:val="right" w:leader="dot" w:pos="9062"/>
            </w:tabs>
            <w:rPr>
              <w:rFonts w:ascii="Arial" w:hAnsi="Arial" w:cs="Arial"/>
              <w:noProof/>
              <w:lang w:val="de-AT" w:eastAsia="de-AT"/>
            </w:rPr>
          </w:pPr>
          <w:hyperlink w:anchor="_Toc294469068" w:history="1">
            <w:r w:rsidR="001459D7" w:rsidRPr="001459D7">
              <w:rPr>
                <w:rStyle w:val="Hyperlink"/>
                <w:rFonts w:ascii="Arial" w:hAnsi="Arial" w:cs="Arial"/>
                <w:noProof/>
              </w:rPr>
              <w:t>Real CO</w:t>
            </w:r>
            <w:r w:rsidR="001459D7" w:rsidRPr="001459D7">
              <w:rPr>
                <w:rStyle w:val="Hyperlink"/>
                <w:rFonts w:ascii="Arial" w:hAnsi="Arial" w:cs="Arial"/>
                <w:noProof/>
                <w:vertAlign w:val="subscript"/>
              </w:rPr>
              <w:t>2</w:t>
            </w:r>
            <w:r w:rsidR="001459D7" w:rsidRPr="001459D7">
              <w:rPr>
                <w:rStyle w:val="Hyperlink"/>
                <w:rFonts w:ascii="Arial" w:hAnsi="Arial" w:cs="Arial"/>
                <w:noProof/>
              </w:rPr>
              <w:t xml:space="preserve"> emissions reduction</w:t>
            </w:r>
            <w:r w:rsidR="001459D7" w:rsidRPr="001459D7">
              <w:rPr>
                <w:rFonts w:ascii="Arial" w:hAnsi="Arial" w:cs="Arial"/>
                <w:noProof/>
                <w:webHidden/>
              </w:rPr>
              <w:tab/>
            </w:r>
            <w:r w:rsidRPr="001459D7">
              <w:rPr>
                <w:rFonts w:ascii="Arial" w:hAnsi="Arial" w:cs="Arial"/>
                <w:noProof/>
                <w:webHidden/>
              </w:rPr>
              <w:fldChar w:fldCharType="begin"/>
            </w:r>
            <w:r w:rsidR="001459D7" w:rsidRPr="001459D7">
              <w:rPr>
                <w:rFonts w:ascii="Arial" w:hAnsi="Arial" w:cs="Arial"/>
                <w:noProof/>
                <w:webHidden/>
              </w:rPr>
              <w:instrText xml:space="preserve"> PAGEREF _Toc294469068 \h </w:instrText>
            </w:r>
            <w:r w:rsidRPr="001459D7">
              <w:rPr>
                <w:rFonts w:ascii="Arial" w:hAnsi="Arial" w:cs="Arial"/>
                <w:noProof/>
                <w:webHidden/>
              </w:rPr>
            </w:r>
            <w:r w:rsidRPr="001459D7">
              <w:rPr>
                <w:rFonts w:ascii="Arial" w:hAnsi="Arial" w:cs="Arial"/>
                <w:noProof/>
                <w:webHidden/>
              </w:rPr>
              <w:fldChar w:fldCharType="separate"/>
            </w:r>
            <w:r w:rsidR="001459D7" w:rsidRPr="001459D7">
              <w:rPr>
                <w:rFonts w:ascii="Arial" w:hAnsi="Arial" w:cs="Arial"/>
                <w:noProof/>
                <w:webHidden/>
              </w:rPr>
              <w:t>8</w:t>
            </w:r>
            <w:r w:rsidRPr="001459D7">
              <w:rPr>
                <w:rFonts w:ascii="Arial" w:hAnsi="Arial" w:cs="Arial"/>
                <w:noProof/>
                <w:webHidden/>
              </w:rPr>
              <w:fldChar w:fldCharType="end"/>
            </w:r>
          </w:hyperlink>
        </w:p>
        <w:p w:rsidR="001459D7" w:rsidRPr="001459D7" w:rsidRDefault="002A0101">
          <w:pPr>
            <w:pStyle w:val="Verzeichnis3"/>
            <w:tabs>
              <w:tab w:val="right" w:leader="dot" w:pos="9062"/>
            </w:tabs>
            <w:rPr>
              <w:rFonts w:ascii="Arial" w:hAnsi="Arial" w:cs="Arial"/>
              <w:noProof/>
              <w:lang w:val="de-AT" w:eastAsia="de-AT"/>
            </w:rPr>
          </w:pPr>
          <w:hyperlink w:anchor="_Toc294469069" w:history="1">
            <w:r w:rsidR="001459D7" w:rsidRPr="001459D7">
              <w:rPr>
                <w:rStyle w:val="Hyperlink"/>
                <w:rFonts w:ascii="Arial" w:hAnsi="Arial" w:cs="Arial"/>
                <w:noProof/>
                <w:lang w:val="en-US"/>
              </w:rPr>
              <w:t>Efficiency of 2</w:t>
            </w:r>
            <w:r w:rsidR="001459D7" w:rsidRPr="001459D7">
              <w:rPr>
                <w:rStyle w:val="Hyperlink"/>
                <w:rFonts w:ascii="Arial" w:hAnsi="Arial" w:cs="Arial"/>
                <w:noProof/>
                <w:vertAlign w:val="superscript"/>
                <w:lang w:val="en-US"/>
              </w:rPr>
              <w:t>nd</w:t>
            </w:r>
            <w:r w:rsidR="001459D7" w:rsidRPr="001459D7">
              <w:rPr>
                <w:rStyle w:val="Hyperlink"/>
                <w:rFonts w:ascii="Arial" w:hAnsi="Arial" w:cs="Arial"/>
                <w:noProof/>
                <w:lang w:val="en-US"/>
              </w:rPr>
              <w:t xml:space="preserve"> generation biofuels</w:t>
            </w:r>
            <w:r w:rsidR="001459D7" w:rsidRPr="001459D7">
              <w:rPr>
                <w:rFonts w:ascii="Arial" w:hAnsi="Arial" w:cs="Arial"/>
                <w:noProof/>
                <w:webHidden/>
              </w:rPr>
              <w:tab/>
            </w:r>
            <w:r w:rsidRPr="001459D7">
              <w:rPr>
                <w:rFonts w:ascii="Arial" w:hAnsi="Arial" w:cs="Arial"/>
                <w:noProof/>
                <w:webHidden/>
              </w:rPr>
              <w:fldChar w:fldCharType="begin"/>
            </w:r>
            <w:r w:rsidR="001459D7" w:rsidRPr="001459D7">
              <w:rPr>
                <w:rFonts w:ascii="Arial" w:hAnsi="Arial" w:cs="Arial"/>
                <w:noProof/>
                <w:webHidden/>
              </w:rPr>
              <w:instrText xml:space="preserve"> PAGEREF _Toc294469069 \h </w:instrText>
            </w:r>
            <w:r w:rsidRPr="001459D7">
              <w:rPr>
                <w:rFonts w:ascii="Arial" w:hAnsi="Arial" w:cs="Arial"/>
                <w:noProof/>
                <w:webHidden/>
              </w:rPr>
            </w:r>
            <w:r w:rsidRPr="001459D7">
              <w:rPr>
                <w:rFonts w:ascii="Arial" w:hAnsi="Arial" w:cs="Arial"/>
                <w:noProof/>
                <w:webHidden/>
              </w:rPr>
              <w:fldChar w:fldCharType="separate"/>
            </w:r>
            <w:r w:rsidR="001459D7" w:rsidRPr="001459D7">
              <w:rPr>
                <w:rFonts w:ascii="Arial" w:hAnsi="Arial" w:cs="Arial"/>
                <w:noProof/>
                <w:webHidden/>
              </w:rPr>
              <w:t>10</w:t>
            </w:r>
            <w:r w:rsidRPr="001459D7">
              <w:rPr>
                <w:rFonts w:ascii="Arial" w:hAnsi="Arial" w:cs="Arial"/>
                <w:noProof/>
                <w:webHidden/>
              </w:rPr>
              <w:fldChar w:fldCharType="end"/>
            </w:r>
          </w:hyperlink>
        </w:p>
        <w:p w:rsidR="001459D7" w:rsidRPr="001459D7" w:rsidRDefault="002A0101">
          <w:pPr>
            <w:pStyle w:val="Verzeichnis2"/>
            <w:tabs>
              <w:tab w:val="right" w:leader="dot" w:pos="9062"/>
            </w:tabs>
            <w:rPr>
              <w:rFonts w:ascii="Arial" w:hAnsi="Arial" w:cs="Arial"/>
              <w:noProof/>
              <w:lang w:val="de-AT" w:eastAsia="de-AT"/>
            </w:rPr>
          </w:pPr>
          <w:hyperlink w:anchor="_Toc294469070" w:history="1">
            <w:r w:rsidR="001459D7" w:rsidRPr="001459D7">
              <w:rPr>
                <w:rStyle w:val="Hyperlink"/>
                <w:rFonts w:ascii="Arial" w:hAnsi="Arial" w:cs="Arial"/>
                <w:noProof/>
              </w:rPr>
              <w:t>EU legislation</w:t>
            </w:r>
            <w:r w:rsidR="001459D7" w:rsidRPr="001459D7">
              <w:rPr>
                <w:rFonts w:ascii="Arial" w:hAnsi="Arial" w:cs="Arial"/>
                <w:noProof/>
                <w:webHidden/>
              </w:rPr>
              <w:tab/>
            </w:r>
            <w:r w:rsidRPr="001459D7">
              <w:rPr>
                <w:rFonts w:ascii="Arial" w:hAnsi="Arial" w:cs="Arial"/>
                <w:noProof/>
                <w:webHidden/>
              </w:rPr>
              <w:fldChar w:fldCharType="begin"/>
            </w:r>
            <w:r w:rsidR="001459D7" w:rsidRPr="001459D7">
              <w:rPr>
                <w:rFonts w:ascii="Arial" w:hAnsi="Arial" w:cs="Arial"/>
                <w:noProof/>
                <w:webHidden/>
              </w:rPr>
              <w:instrText xml:space="preserve"> PAGEREF _Toc294469070 \h </w:instrText>
            </w:r>
            <w:r w:rsidRPr="001459D7">
              <w:rPr>
                <w:rFonts w:ascii="Arial" w:hAnsi="Arial" w:cs="Arial"/>
                <w:noProof/>
                <w:webHidden/>
              </w:rPr>
            </w:r>
            <w:r w:rsidRPr="001459D7">
              <w:rPr>
                <w:rFonts w:ascii="Arial" w:hAnsi="Arial" w:cs="Arial"/>
                <w:noProof/>
                <w:webHidden/>
              </w:rPr>
              <w:fldChar w:fldCharType="separate"/>
            </w:r>
            <w:r w:rsidR="001459D7" w:rsidRPr="001459D7">
              <w:rPr>
                <w:rFonts w:ascii="Arial" w:hAnsi="Arial" w:cs="Arial"/>
                <w:noProof/>
                <w:webHidden/>
              </w:rPr>
              <w:t>11</w:t>
            </w:r>
            <w:r w:rsidRPr="001459D7">
              <w:rPr>
                <w:rFonts w:ascii="Arial" w:hAnsi="Arial" w:cs="Arial"/>
                <w:noProof/>
                <w:webHidden/>
              </w:rPr>
              <w:fldChar w:fldCharType="end"/>
            </w:r>
          </w:hyperlink>
        </w:p>
        <w:p w:rsidR="001459D7" w:rsidRPr="001459D7" w:rsidRDefault="002A0101">
          <w:pPr>
            <w:pStyle w:val="Verzeichnis2"/>
            <w:tabs>
              <w:tab w:val="right" w:leader="dot" w:pos="9062"/>
            </w:tabs>
            <w:rPr>
              <w:rFonts w:ascii="Arial" w:hAnsi="Arial" w:cs="Arial"/>
              <w:noProof/>
              <w:lang w:val="de-AT" w:eastAsia="de-AT"/>
            </w:rPr>
          </w:pPr>
          <w:hyperlink w:anchor="_Toc294469071" w:history="1">
            <w:r w:rsidR="001459D7" w:rsidRPr="001459D7">
              <w:rPr>
                <w:rStyle w:val="Hyperlink"/>
                <w:rFonts w:ascii="Arial" w:hAnsi="Arial" w:cs="Arial"/>
                <w:noProof/>
              </w:rPr>
              <w:t>Food crisis</w:t>
            </w:r>
            <w:r w:rsidR="001459D7" w:rsidRPr="001459D7">
              <w:rPr>
                <w:rFonts w:ascii="Arial" w:hAnsi="Arial" w:cs="Arial"/>
                <w:noProof/>
                <w:webHidden/>
              </w:rPr>
              <w:tab/>
            </w:r>
            <w:r w:rsidRPr="001459D7">
              <w:rPr>
                <w:rFonts w:ascii="Arial" w:hAnsi="Arial" w:cs="Arial"/>
                <w:noProof/>
                <w:webHidden/>
              </w:rPr>
              <w:fldChar w:fldCharType="begin"/>
            </w:r>
            <w:r w:rsidR="001459D7" w:rsidRPr="001459D7">
              <w:rPr>
                <w:rFonts w:ascii="Arial" w:hAnsi="Arial" w:cs="Arial"/>
                <w:noProof/>
                <w:webHidden/>
              </w:rPr>
              <w:instrText xml:space="preserve"> PAGEREF _Toc294469071 \h </w:instrText>
            </w:r>
            <w:r w:rsidRPr="001459D7">
              <w:rPr>
                <w:rFonts w:ascii="Arial" w:hAnsi="Arial" w:cs="Arial"/>
                <w:noProof/>
                <w:webHidden/>
              </w:rPr>
            </w:r>
            <w:r w:rsidRPr="001459D7">
              <w:rPr>
                <w:rFonts w:ascii="Arial" w:hAnsi="Arial" w:cs="Arial"/>
                <w:noProof/>
                <w:webHidden/>
              </w:rPr>
              <w:fldChar w:fldCharType="separate"/>
            </w:r>
            <w:r w:rsidR="001459D7" w:rsidRPr="001459D7">
              <w:rPr>
                <w:rFonts w:ascii="Arial" w:hAnsi="Arial" w:cs="Arial"/>
                <w:noProof/>
                <w:webHidden/>
              </w:rPr>
              <w:t>11</w:t>
            </w:r>
            <w:r w:rsidRPr="001459D7">
              <w:rPr>
                <w:rFonts w:ascii="Arial" w:hAnsi="Arial" w:cs="Arial"/>
                <w:noProof/>
                <w:webHidden/>
              </w:rPr>
              <w:fldChar w:fldCharType="end"/>
            </w:r>
          </w:hyperlink>
        </w:p>
        <w:p w:rsidR="001459D7" w:rsidRPr="001459D7" w:rsidRDefault="002A0101">
          <w:pPr>
            <w:pStyle w:val="Verzeichnis1"/>
            <w:tabs>
              <w:tab w:val="left" w:pos="440"/>
              <w:tab w:val="right" w:leader="dot" w:pos="9062"/>
            </w:tabs>
            <w:rPr>
              <w:rFonts w:eastAsiaTheme="minorEastAsia" w:cs="Arial"/>
              <w:noProof/>
              <w:lang w:val="de-AT" w:eastAsia="de-AT"/>
            </w:rPr>
          </w:pPr>
          <w:hyperlink w:anchor="_Toc294469072" w:history="1">
            <w:r w:rsidR="001459D7" w:rsidRPr="001459D7">
              <w:rPr>
                <w:rStyle w:val="Hyperlink"/>
                <w:rFonts w:cs="Arial"/>
                <w:noProof/>
                <w:lang w:val="en-US"/>
              </w:rPr>
              <w:t>4.</w:t>
            </w:r>
            <w:r w:rsidR="001459D7" w:rsidRPr="001459D7">
              <w:rPr>
                <w:rFonts w:eastAsiaTheme="minorEastAsia" w:cs="Arial"/>
                <w:noProof/>
                <w:lang w:val="de-AT" w:eastAsia="de-AT"/>
              </w:rPr>
              <w:tab/>
            </w:r>
            <w:r w:rsidR="001459D7" w:rsidRPr="001459D7">
              <w:rPr>
                <w:rStyle w:val="Hyperlink"/>
                <w:rFonts w:cs="Arial"/>
                <w:noProof/>
                <w:lang w:val="en-US"/>
              </w:rPr>
              <w:t>Biofuels in Austria and the Czech Republic: production and legislation</w:t>
            </w:r>
            <w:r w:rsidR="001459D7" w:rsidRPr="001459D7">
              <w:rPr>
                <w:rFonts w:cs="Arial"/>
                <w:noProof/>
                <w:webHidden/>
              </w:rPr>
              <w:tab/>
            </w:r>
            <w:r w:rsidRPr="001459D7">
              <w:rPr>
                <w:rFonts w:cs="Arial"/>
                <w:noProof/>
                <w:webHidden/>
              </w:rPr>
              <w:fldChar w:fldCharType="begin"/>
            </w:r>
            <w:r w:rsidR="001459D7" w:rsidRPr="001459D7">
              <w:rPr>
                <w:rFonts w:cs="Arial"/>
                <w:noProof/>
                <w:webHidden/>
              </w:rPr>
              <w:instrText xml:space="preserve"> PAGEREF _Toc294469072 \h </w:instrText>
            </w:r>
            <w:r w:rsidRPr="001459D7">
              <w:rPr>
                <w:rFonts w:cs="Arial"/>
                <w:noProof/>
                <w:webHidden/>
              </w:rPr>
            </w:r>
            <w:r w:rsidRPr="001459D7">
              <w:rPr>
                <w:rFonts w:cs="Arial"/>
                <w:noProof/>
                <w:webHidden/>
              </w:rPr>
              <w:fldChar w:fldCharType="separate"/>
            </w:r>
            <w:r w:rsidR="001459D7" w:rsidRPr="001459D7">
              <w:rPr>
                <w:rFonts w:cs="Arial"/>
                <w:noProof/>
                <w:webHidden/>
              </w:rPr>
              <w:t>12</w:t>
            </w:r>
            <w:r w:rsidRPr="001459D7">
              <w:rPr>
                <w:rFonts w:cs="Arial"/>
                <w:noProof/>
                <w:webHidden/>
              </w:rPr>
              <w:fldChar w:fldCharType="end"/>
            </w:r>
          </w:hyperlink>
        </w:p>
        <w:p w:rsidR="001459D7" w:rsidRPr="001459D7" w:rsidRDefault="002A0101">
          <w:pPr>
            <w:pStyle w:val="Verzeichnis2"/>
            <w:tabs>
              <w:tab w:val="right" w:leader="dot" w:pos="9062"/>
            </w:tabs>
            <w:rPr>
              <w:rFonts w:ascii="Arial" w:hAnsi="Arial" w:cs="Arial"/>
              <w:noProof/>
              <w:lang w:val="de-AT" w:eastAsia="de-AT"/>
            </w:rPr>
          </w:pPr>
          <w:hyperlink w:anchor="_Toc294469073" w:history="1">
            <w:r w:rsidR="001459D7" w:rsidRPr="001459D7">
              <w:rPr>
                <w:rStyle w:val="Hyperlink"/>
                <w:rFonts w:ascii="Arial" w:hAnsi="Arial" w:cs="Arial"/>
                <w:noProof/>
              </w:rPr>
              <w:t>Biofuels in Austria</w:t>
            </w:r>
            <w:r w:rsidR="001459D7" w:rsidRPr="001459D7">
              <w:rPr>
                <w:rFonts w:ascii="Arial" w:hAnsi="Arial" w:cs="Arial"/>
                <w:noProof/>
                <w:webHidden/>
              </w:rPr>
              <w:tab/>
            </w:r>
            <w:r w:rsidRPr="001459D7">
              <w:rPr>
                <w:rFonts w:ascii="Arial" w:hAnsi="Arial" w:cs="Arial"/>
                <w:noProof/>
                <w:webHidden/>
              </w:rPr>
              <w:fldChar w:fldCharType="begin"/>
            </w:r>
            <w:r w:rsidR="001459D7" w:rsidRPr="001459D7">
              <w:rPr>
                <w:rFonts w:ascii="Arial" w:hAnsi="Arial" w:cs="Arial"/>
                <w:noProof/>
                <w:webHidden/>
              </w:rPr>
              <w:instrText xml:space="preserve"> PAGEREF _Toc294469073 \h </w:instrText>
            </w:r>
            <w:r w:rsidRPr="001459D7">
              <w:rPr>
                <w:rFonts w:ascii="Arial" w:hAnsi="Arial" w:cs="Arial"/>
                <w:noProof/>
                <w:webHidden/>
              </w:rPr>
            </w:r>
            <w:r w:rsidRPr="001459D7">
              <w:rPr>
                <w:rFonts w:ascii="Arial" w:hAnsi="Arial" w:cs="Arial"/>
                <w:noProof/>
                <w:webHidden/>
              </w:rPr>
              <w:fldChar w:fldCharType="separate"/>
            </w:r>
            <w:r w:rsidR="001459D7" w:rsidRPr="001459D7">
              <w:rPr>
                <w:rFonts w:ascii="Arial" w:hAnsi="Arial" w:cs="Arial"/>
                <w:noProof/>
                <w:webHidden/>
              </w:rPr>
              <w:t>13</w:t>
            </w:r>
            <w:r w:rsidRPr="001459D7">
              <w:rPr>
                <w:rFonts w:ascii="Arial" w:hAnsi="Arial" w:cs="Arial"/>
                <w:noProof/>
                <w:webHidden/>
              </w:rPr>
              <w:fldChar w:fldCharType="end"/>
            </w:r>
          </w:hyperlink>
        </w:p>
        <w:p w:rsidR="001459D7" w:rsidRPr="001459D7" w:rsidRDefault="002A0101">
          <w:pPr>
            <w:pStyle w:val="Verzeichnis3"/>
            <w:tabs>
              <w:tab w:val="right" w:leader="dot" w:pos="9062"/>
            </w:tabs>
            <w:rPr>
              <w:rFonts w:ascii="Arial" w:hAnsi="Arial" w:cs="Arial"/>
              <w:noProof/>
              <w:lang w:val="de-AT" w:eastAsia="de-AT"/>
            </w:rPr>
          </w:pPr>
          <w:hyperlink w:anchor="_Toc294469074" w:history="1">
            <w:r w:rsidR="001459D7" w:rsidRPr="001459D7">
              <w:rPr>
                <w:rStyle w:val="Hyperlink"/>
                <w:rFonts w:ascii="Arial" w:hAnsi="Arial" w:cs="Arial"/>
                <w:noProof/>
              </w:rPr>
              <w:t>Market situation</w:t>
            </w:r>
            <w:r w:rsidR="001459D7" w:rsidRPr="001459D7">
              <w:rPr>
                <w:rFonts w:ascii="Arial" w:hAnsi="Arial" w:cs="Arial"/>
                <w:noProof/>
                <w:webHidden/>
              </w:rPr>
              <w:tab/>
            </w:r>
            <w:r w:rsidRPr="001459D7">
              <w:rPr>
                <w:rFonts w:ascii="Arial" w:hAnsi="Arial" w:cs="Arial"/>
                <w:noProof/>
                <w:webHidden/>
              </w:rPr>
              <w:fldChar w:fldCharType="begin"/>
            </w:r>
            <w:r w:rsidR="001459D7" w:rsidRPr="001459D7">
              <w:rPr>
                <w:rFonts w:ascii="Arial" w:hAnsi="Arial" w:cs="Arial"/>
                <w:noProof/>
                <w:webHidden/>
              </w:rPr>
              <w:instrText xml:space="preserve"> PAGEREF _Toc294469074 \h </w:instrText>
            </w:r>
            <w:r w:rsidRPr="001459D7">
              <w:rPr>
                <w:rFonts w:ascii="Arial" w:hAnsi="Arial" w:cs="Arial"/>
                <w:noProof/>
                <w:webHidden/>
              </w:rPr>
            </w:r>
            <w:r w:rsidRPr="001459D7">
              <w:rPr>
                <w:rFonts w:ascii="Arial" w:hAnsi="Arial" w:cs="Arial"/>
                <w:noProof/>
                <w:webHidden/>
              </w:rPr>
              <w:fldChar w:fldCharType="separate"/>
            </w:r>
            <w:r w:rsidR="001459D7" w:rsidRPr="001459D7">
              <w:rPr>
                <w:rFonts w:ascii="Arial" w:hAnsi="Arial" w:cs="Arial"/>
                <w:noProof/>
                <w:webHidden/>
              </w:rPr>
              <w:t>13</w:t>
            </w:r>
            <w:r w:rsidRPr="001459D7">
              <w:rPr>
                <w:rFonts w:ascii="Arial" w:hAnsi="Arial" w:cs="Arial"/>
                <w:noProof/>
                <w:webHidden/>
              </w:rPr>
              <w:fldChar w:fldCharType="end"/>
            </w:r>
          </w:hyperlink>
        </w:p>
        <w:p w:rsidR="001459D7" w:rsidRPr="001459D7" w:rsidRDefault="002A0101">
          <w:pPr>
            <w:pStyle w:val="Verzeichnis3"/>
            <w:tabs>
              <w:tab w:val="right" w:leader="dot" w:pos="9062"/>
            </w:tabs>
            <w:rPr>
              <w:rFonts w:ascii="Arial" w:hAnsi="Arial" w:cs="Arial"/>
              <w:noProof/>
              <w:lang w:val="de-AT" w:eastAsia="de-AT"/>
            </w:rPr>
          </w:pPr>
          <w:hyperlink w:anchor="_Toc294469075" w:history="1">
            <w:r w:rsidR="001459D7" w:rsidRPr="001459D7">
              <w:rPr>
                <w:rStyle w:val="Hyperlink"/>
                <w:rFonts w:ascii="Arial" w:hAnsi="Arial" w:cs="Arial"/>
                <w:noProof/>
              </w:rPr>
              <w:t>Promotion of biofuel production</w:t>
            </w:r>
            <w:r w:rsidR="001459D7" w:rsidRPr="001459D7">
              <w:rPr>
                <w:rFonts w:ascii="Arial" w:hAnsi="Arial" w:cs="Arial"/>
                <w:noProof/>
                <w:webHidden/>
              </w:rPr>
              <w:tab/>
            </w:r>
            <w:r w:rsidRPr="001459D7">
              <w:rPr>
                <w:rFonts w:ascii="Arial" w:hAnsi="Arial" w:cs="Arial"/>
                <w:noProof/>
                <w:webHidden/>
              </w:rPr>
              <w:fldChar w:fldCharType="begin"/>
            </w:r>
            <w:r w:rsidR="001459D7" w:rsidRPr="001459D7">
              <w:rPr>
                <w:rFonts w:ascii="Arial" w:hAnsi="Arial" w:cs="Arial"/>
                <w:noProof/>
                <w:webHidden/>
              </w:rPr>
              <w:instrText xml:space="preserve"> PAGEREF _Toc294469075 \h </w:instrText>
            </w:r>
            <w:r w:rsidRPr="001459D7">
              <w:rPr>
                <w:rFonts w:ascii="Arial" w:hAnsi="Arial" w:cs="Arial"/>
                <w:noProof/>
                <w:webHidden/>
              </w:rPr>
            </w:r>
            <w:r w:rsidRPr="001459D7">
              <w:rPr>
                <w:rFonts w:ascii="Arial" w:hAnsi="Arial" w:cs="Arial"/>
                <w:noProof/>
                <w:webHidden/>
              </w:rPr>
              <w:fldChar w:fldCharType="separate"/>
            </w:r>
            <w:r w:rsidR="001459D7" w:rsidRPr="001459D7">
              <w:rPr>
                <w:rFonts w:ascii="Arial" w:hAnsi="Arial" w:cs="Arial"/>
                <w:noProof/>
                <w:webHidden/>
              </w:rPr>
              <w:t>14</w:t>
            </w:r>
            <w:r w:rsidRPr="001459D7">
              <w:rPr>
                <w:rFonts w:ascii="Arial" w:hAnsi="Arial" w:cs="Arial"/>
                <w:noProof/>
                <w:webHidden/>
              </w:rPr>
              <w:fldChar w:fldCharType="end"/>
            </w:r>
          </w:hyperlink>
        </w:p>
        <w:p w:rsidR="001459D7" w:rsidRPr="001459D7" w:rsidRDefault="002A0101">
          <w:pPr>
            <w:pStyle w:val="Verzeichnis3"/>
            <w:tabs>
              <w:tab w:val="right" w:leader="dot" w:pos="9062"/>
            </w:tabs>
            <w:rPr>
              <w:rFonts w:ascii="Arial" w:hAnsi="Arial" w:cs="Arial"/>
              <w:noProof/>
              <w:lang w:val="de-AT" w:eastAsia="de-AT"/>
            </w:rPr>
          </w:pPr>
          <w:hyperlink w:anchor="_Toc294469076" w:history="1">
            <w:r w:rsidR="001459D7" w:rsidRPr="001459D7">
              <w:rPr>
                <w:rStyle w:val="Hyperlink"/>
                <w:rFonts w:ascii="Arial" w:hAnsi="Arial" w:cs="Arial"/>
                <w:noProof/>
                <w:lang w:val="en-US"/>
              </w:rPr>
              <w:t>How did Austria implement the EU Directive 2003/30/EC?</w:t>
            </w:r>
            <w:r w:rsidR="001459D7" w:rsidRPr="001459D7">
              <w:rPr>
                <w:rFonts w:ascii="Arial" w:hAnsi="Arial" w:cs="Arial"/>
                <w:noProof/>
                <w:webHidden/>
              </w:rPr>
              <w:tab/>
            </w:r>
            <w:r w:rsidRPr="001459D7">
              <w:rPr>
                <w:rFonts w:ascii="Arial" w:hAnsi="Arial" w:cs="Arial"/>
                <w:noProof/>
                <w:webHidden/>
              </w:rPr>
              <w:fldChar w:fldCharType="begin"/>
            </w:r>
            <w:r w:rsidR="001459D7" w:rsidRPr="001459D7">
              <w:rPr>
                <w:rFonts w:ascii="Arial" w:hAnsi="Arial" w:cs="Arial"/>
                <w:noProof/>
                <w:webHidden/>
              </w:rPr>
              <w:instrText xml:space="preserve"> PAGEREF _Toc294469076 \h </w:instrText>
            </w:r>
            <w:r w:rsidRPr="001459D7">
              <w:rPr>
                <w:rFonts w:ascii="Arial" w:hAnsi="Arial" w:cs="Arial"/>
                <w:noProof/>
                <w:webHidden/>
              </w:rPr>
            </w:r>
            <w:r w:rsidRPr="001459D7">
              <w:rPr>
                <w:rFonts w:ascii="Arial" w:hAnsi="Arial" w:cs="Arial"/>
                <w:noProof/>
                <w:webHidden/>
              </w:rPr>
              <w:fldChar w:fldCharType="separate"/>
            </w:r>
            <w:r w:rsidR="001459D7" w:rsidRPr="001459D7">
              <w:rPr>
                <w:rFonts w:ascii="Arial" w:hAnsi="Arial" w:cs="Arial"/>
                <w:noProof/>
                <w:webHidden/>
              </w:rPr>
              <w:t>14</w:t>
            </w:r>
            <w:r w:rsidRPr="001459D7">
              <w:rPr>
                <w:rFonts w:ascii="Arial" w:hAnsi="Arial" w:cs="Arial"/>
                <w:noProof/>
                <w:webHidden/>
              </w:rPr>
              <w:fldChar w:fldCharType="end"/>
            </w:r>
          </w:hyperlink>
        </w:p>
        <w:p w:rsidR="001459D7" w:rsidRPr="001459D7" w:rsidRDefault="002A0101">
          <w:pPr>
            <w:pStyle w:val="Verzeichnis3"/>
            <w:tabs>
              <w:tab w:val="right" w:leader="dot" w:pos="9062"/>
            </w:tabs>
            <w:rPr>
              <w:rFonts w:ascii="Arial" w:hAnsi="Arial" w:cs="Arial"/>
              <w:noProof/>
              <w:lang w:val="de-AT" w:eastAsia="de-AT"/>
            </w:rPr>
          </w:pPr>
          <w:hyperlink w:anchor="_Toc294469077" w:history="1">
            <w:r w:rsidR="001459D7" w:rsidRPr="001459D7">
              <w:rPr>
                <w:rStyle w:val="Hyperlink"/>
                <w:rFonts w:ascii="Arial" w:hAnsi="Arial" w:cs="Arial"/>
                <w:noProof/>
                <w:lang w:val="en-US"/>
              </w:rPr>
              <w:t>National Resources for processing biomass</w:t>
            </w:r>
            <w:r w:rsidR="001459D7" w:rsidRPr="001459D7">
              <w:rPr>
                <w:rFonts w:ascii="Arial" w:hAnsi="Arial" w:cs="Arial"/>
                <w:noProof/>
                <w:webHidden/>
              </w:rPr>
              <w:tab/>
            </w:r>
            <w:r w:rsidRPr="001459D7">
              <w:rPr>
                <w:rFonts w:ascii="Arial" w:hAnsi="Arial" w:cs="Arial"/>
                <w:noProof/>
                <w:webHidden/>
              </w:rPr>
              <w:fldChar w:fldCharType="begin"/>
            </w:r>
            <w:r w:rsidR="001459D7" w:rsidRPr="001459D7">
              <w:rPr>
                <w:rFonts w:ascii="Arial" w:hAnsi="Arial" w:cs="Arial"/>
                <w:noProof/>
                <w:webHidden/>
              </w:rPr>
              <w:instrText xml:space="preserve"> PAGEREF _Toc294469077 \h </w:instrText>
            </w:r>
            <w:r w:rsidRPr="001459D7">
              <w:rPr>
                <w:rFonts w:ascii="Arial" w:hAnsi="Arial" w:cs="Arial"/>
                <w:noProof/>
                <w:webHidden/>
              </w:rPr>
            </w:r>
            <w:r w:rsidRPr="001459D7">
              <w:rPr>
                <w:rFonts w:ascii="Arial" w:hAnsi="Arial" w:cs="Arial"/>
                <w:noProof/>
                <w:webHidden/>
              </w:rPr>
              <w:fldChar w:fldCharType="separate"/>
            </w:r>
            <w:r w:rsidR="001459D7" w:rsidRPr="001459D7">
              <w:rPr>
                <w:rFonts w:ascii="Arial" w:hAnsi="Arial" w:cs="Arial"/>
                <w:noProof/>
                <w:webHidden/>
              </w:rPr>
              <w:t>14</w:t>
            </w:r>
            <w:r w:rsidRPr="001459D7">
              <w:rPr>
                <w:rFonts w:ascii="Arial" w:hAnsi="Arial" w:cs="Arial"/>
                <w:noProof/>
                <w:webHidden/>
              </w:rPr>
              <w:fldChar w:fldCharType="end"/>
            </w:r>
          </w:hyperlink>
        </w:p>
        <w:p w:rsidR="001459D7" w:rsidRPr="001459D7" w:rsidRDefault="002A0101">
          <w:pPr>
            <w:pStyle w:val="Verzeichnis3"/>
            <w:tabs>
              <w:tab w:val="right" w:leader="dot" w:pos="9062"/>
            </w:tabs>
            <w:rPr>
              <w:rFonts w:ascii="Arial" w:hAnsi="Arial" w:cs="Arial"/>
              <w:noProof/>
              <w:lang w:val="de-AT" w:eastAsia="de-AT"/>
            </w:rPr>
          </w:pPr>
          <w:hyperlink w:anchor="_Toc294469078" w:history="1">
            <w:r w:rsidR="001459D7" w:rsidRPr="001459D7">
              <w:rPr>
                <w:rStyle w:val="Hyperlink"/>
                <w:rFonts w:ascii="Arial" w:hAnsi="Arial" w:cs="Arial"/>
                <w:noProof/>
                <w:lang w:val="en-US"/>
              </w:rPr>
              <w:t>Food price vs. biofuels production analysis (econometric analysis)</w:t>
            </w:r>
            <w:r w:rsidR="001459D7" w:rsidRPr="001459D7">
              <w:rPr>
                <w:rFonts w:ascii="Arial" w:hAnsi="Arial" w:cs="Arial"/>
                <w:noProof/>
                <w:webHidden/>
              </w:rPr>
              <w:tab/>
            </w:r>
            <w:r w:rsidRPr="001459D7">
              <w:rPr>
                <w:rFonts w:ascii="Arial" w:hAnsi="Arial" w:cs="Arial"/>
                <w:noProof/>
                <w:webHidden/>
              </w:rPr>
              <w:fldChar w:fldCharType="begin"/>
            </w:r>
            <w:r w:rsidR="001459D7" w:rsidRPr="001459D7">
              <w:rPr>
                <w:rFonts w:ascii="Arial" w:hAnsi="Arial" w:cs="Arial"/>
                <w:noProof/>
                <w:webHidden/>
              </w:rPr>
              <w:instrText xml:space="preserve"> PAGEREF _Toc294469078 \h </w:instrText>
            </w:r>
            <w:r w:rsidRPr="001459D7">
              <w:rPr>
                <w:rFonts w:ascii="Arial" w:hAnsi="Arial" w:cs="Arial"/>
                <w:noProof/>
                <w:webHidden/>
              </w:rPr>
            </w:r>
            <w:r w:rsidRPr="001459D7">
              <w:rPr>
                <w:rFonts w:ascii="Arial" w:hAnsi="Arial" w:cs="Arial"/>
                <w:noProof/>
                <w:webHidden/>
              </w:rPr>
              <w:fldChar w:fldCharType="separate"/>
            </w:r>
            <w:r w:rsidR="001459D7" w:rsidRPr="001459D7">
              <w:rPr>
                <w:rFonts w:ascii="Arial" w:hAnsi="Arial" w:cs="Arial"/>
                <w:noProof/>
                <w:webHidden/>
              </w:rPr>
              <w:t>15</w:t>
            </w:r>
            <w:r w:rsidRPr="001459D7">
              <w:rPr>
                <w:rFonts w:ascii="Arial" w:hAnsi="Arial" w:cs="Arial"/>
                <w:noProof/>
                <w:webHidden/>
              </w:rPr>
              <w:fldChar w:fldCharType="end"/>
            </w:r>
          </w:hyperlink>
        </w:p>
        <w:p w:rsidR="001459D7" w:rsidRPr="001459D7" w:rsidRDefault="002A0101">
          <w:pPr>
            <w:pStyle w:val="Verzeichnis2"/>
            <w:tabs>
              <w:tab w:val="right" w:leader="dot" w:pos="9062"/>
            </w:tabs>
            <w:rPr>
              <w:rFonts w:ascii="Arial" w:hAnsi="Arial" w:cs="Arial"/>
              <w:noProof/>
              <w:lang w:val="de-AT" w:eastAsia="de-AT"/>
            </w:rPr>
          </w:pPr>
          <w:hyperlink w:anchor="_Toc294469079" w:history="1">
            <w:r w:rsidR="001459D7" w:rsidRPr="001459D7">
              <w:rPr>
                <w:rStyle w:val="Hyperlink"/>
                <w:rFonts w:ascii="Arial" w:hAnsi="Arial" w:cs="Arial"/>
                <w:noProof/>
                <w:lang w:val="en-US"/>
              </w:rPr>
              <w:t>Biofuels in the Czech Republic</w:t>
            </w:r>
            <w:r w:rsidR="001459D7" w:rsidRPr="001459D7">
              <w:rPr>
                <w:rFonts w:ascii="Arial" w:hAnsi="Arial" w:cs="Arial"/>
                <w:noProof/>
                <w:webHidden/>
              </w:rPr>
              <w:tab/>
            </w:r>
            <w:r w:rsidRPr="001459D7">
              <w:rPr>
                <w:rFonts w:ascii="Arial" w:hAnsi="Arial" w:cs="Arial"/>
                <w:noProof/>
                <w:webHidden/>
              </w:rPr>
              <w:fldChar w:fldCharType="begin"/>
            </w:r>
            <w:r w:rsidR="001459D7" w:rsidRPr="001459D7">
              <w:rPr>
                <w:rFonts w:ascii="Arial" w:hAnsi="Arial" w:cs="Arial"/>
                <w:noProof/>
                <w:webHidden/>
              </w:rPr>
              <w:instrText xml:space="preserve"> PAGEREF _Toc294469079 \h </w:instrText>
            </w:r>
            <w:r w:rsidRPr="001459D7">
              <w:rPr>
                <w:rFonts w:ascii="Arial" w:hAnsi="Arial" w:cs="Arial"/>
                <w:noProof/>
                <w:webHidden/>
              </w:rPr>
            </w:r>
            <w:r w:rsidRPr="001459D7">
              <w:rPr>
                <w:rFonts w:ascii="Arial" w:hAnsi="Arial" w:cs="Arial"/>
                <w:noProof/>
                <w:webHidden/>
              </w:rPr>
              <w:fldChar w:fldCharType="separate"/>
            </w:r>
            <w:r w:rsidR="001459D7" w:rsidRPr="001459D7">
              <w:rPr>
                <w:rFonts w:ascii="Arial" w:hAnsi="Arial" w:cs="Arial"/>
                <w:noProof/>
                <w:webHidden/>
              </w:rPr>
              <w:t>16</w:t>
            </w:r>
            <w:r w:rsidRPr="001459D7">
              <w:rPr>
                <w:rFonts w:ascii="Arial" w:hAnsi="Arial" w:cs="Arial"/>
                <w:noProof/>
                <w:webHidden/>
              </w:rPr>
              <w:fldChar w:fldCharType="end"/>
            </w:r>
          </w:hyperlink>
        </w:p>
        <w:p w:rsidR="001459D7" w:rsidRPr="001459D7" w:rsidRDefault="002A0101">
          <w:pPr>
            <w:pStyle w:val="Verzeichnis3"/>
            <w:tabs>
              <w:tab w:val="right" w:leader="dot" w:pos="9062"/>
            </w:tabs>
            <w:rPr>
              <w:rFonts w:ascii="Arial" w:hAnsi="Arial" w:cs="Arial"/>
              <w:noProof/>
              <w:lang w:val="de-AT" w:eastAsia="de-AT"/>
            </w:rPr>
          </w:pPr>
          <w:hyperlink w:anchor="_Toc294469080" w:history="1">
            <w:r w:rsidR="001459D7" w:rsidRPr="001459D7">
              <w:rPr>
                <w:rStyle w:val="Hyperlink"/>
                <w:rFonts w:ascii="Arial" w:hAnsi="Arial" w:cs="Arial"/>
                <w:noProof/>
              </w:rPr>
              <w:t>Legislation about biofuels</w:t>
            </w:r>
            <w:r w:rsidR="001459D7" w:rsidRPr="001459D7">
              <w:rPr>
                <w:rFonts w:ascii="Arial" w:hAnsi="Arial" w:cs="Arial"/>
                <w:noProof/>
                <w:webHidden/>
              </w:rPr>
              <w:tab/>
            </w:r>
            <w:r w:rsidRPr="001459D7">
              <w:rPr>
                <w:rFonts w:ascii="Arial" w:hAnsi="Arial" w:cs="Arial"/>
                <w:noProof/>
                <w:webHidden/>
              </w:rPr>
              <w:fldChar w:fldCharType="begin"/>
            </w:r>
            <w:r w:rsidR="001459D7" w:rsidRPr="001459D7">
              <w:rPr>
                <w:rFonts w:ascii="Arial" w:hAnsi="Arial" w:cs="Arial"/>
                <w:noProof/>
                <w:webHidden/>
              </w:rPr>
              <w:instrText xml:space="preserve"> PAGEREF _Toc294469080 \h </w:instrText>
            </w:r>
            <w:r w:rsidRPr="001459D7">
              <w:rPr>
                <w:rFonts w:ascii="Arial" w:hAnsi="Arial" w:cs="Arial"/>
                <w:noProof/>
                <w:webHidden/>
              </w:rPr>
            </w:r>
            <w:r w:rsidRPr="001459D7">
              <w:rPr>
                <w:rFonts w:ascii="Arial" w:hAnsi="Arial" w:cs="Arial"/>
                <w:noProof/>
                <w:webHidden/>
              </w:rPr>
              <w:fldChar w:fldCharType="separate"/>
            </w:r>
            <w:r w:rsidR="001459D7" w:rsidRPr="001459D7">
              <w:rPr>
                <w:rFonts w:ascii="Arial" w:hAnsi="Arial" w:cs="Arial"/>
                <w:noProof/>
                <w:webHidden/>
              </w:rPr>
              <w:t>17</w:t>
            </w:r>
            <w:r w:rsidRPr="001459D7">
              <w:rPr>
                <w:rFonts w:ascii="Arial" w:hAnsi="Arial" w:cs="Arial"/>
                <w:noProof/>
                <w:webHidden/>
              </w:rPr>
              <w:fldChar w:fldCharType="end"/>
            </w:r>
          </w:hyperlink>
        </w:p>
        <w:p w:rsidR="001459D7" w:rsidRPr="001459D7" w:rsidRDefault="002A0101">
          <w:pPr>
            <w:pStyle w:val="Verzeichnis3"/>
            <w:tabs>
              <w:tab w:val="right" w:leader="dot" w:pos="9062"/>
            </w:tabs>
            <w:rPr>
              <w:rFonts w:ascii="Arial" w:hAnsi="Arial" w:cs="Arial"/>
              <w:noProof/>
              <w:lang w:val="de-AT" w:eastAsia="de-AT"/>
            </w:rPr>
          </w:pPr>
          <w:hyperlink w:anchor="_Toc294469081" w:history="1">
            <w:r w:rsidR="001459D7" w:rsidRPr="001459D7">
              <w:rPr>
                <w:rStyle w:val="Hyperlink"/>
                <w:rFonts w:ascii="Arial" w:hAnsi="Arial" w:cs="Arial"/>
                <w:noProof/>
              </w:rPr>
              <w:t>Biofuels production</w:t>
            </w:r>
            <w:r w:rsidR="001459D7" w:rsidRPr="001459D7">
              <w:rPr>
                <w:rFonts w:ascii="Arial" w:hAnsi="Arial" w:cs="Arial"/>
                <w:noProof/>
                <w:webHidden/>
              </w:rPr>
              <w:tab/>
            </w:r>
            <w:r w:rsidRPr="001459D7">
              <w:rPr>
                <w:rFonts w:ascii="Arial" w:hAnsi="Arial" w:cs="Arial"/>
                <w:noProof/>
                <w:webHidden/>
              </w:rPr>
              <w:fldChar w:fldCharType="begin"/>
            </w:r>
            <w:r w:rsidR="001459D7" w:rsidRPr="001459D7">
              <w:rPr>
                <w:rFonts w:ascii="Arial" w:hAnsi="Arial" w:cs="Arial"/>
                <w:noProof/>
                <w:webHidden/>
              </w:rPr>
              <w:instrText xml:space="preserve"> PAGEREF _Toc294469081 \h </w:instrText>
            </w:r>
            <w:r w:rsidRPr="001459D7">
              <w:rPr>
                <w:rFonts w:ascii="Arial" w:hAnsi="Arial" w:cs="Arial"/>
                <w:noProof/>
                <w:webHidden/>
              </w:rPr>
            </w:r>
            <w:r w:rsidRPr="001459D7">
              <w:rPr>
                <w:rFonts w:ascii="Arial" w:hAnsi="Arial" w:cs="Arial"/>
                <w:noProof/>
                <w:webHidden/>
              </w:rPr>
              <w:fldChar w:fldCharType="separate"/>
            </w:r>
            <w:r w:rsidR="001459D7" w:rsidRPr="001459D7">
              <w:rPr>
                <w:rFonts w:ascii="Arial" w:hAnsi="Arial" w:cs="Arial"/>
                <w:noProof/>
                <w:webHidden/>
              </w:rPr>
              <w:t>17</w:t>
            </w:r>
            <w:r w:rsidRPr="001459D7">
              <w:rPr>
                <w:rFonts w:ascii="Arial" w:hAnsi="Arial" w:cs="Arial"/>
                <w:noProof/>
                <w:webHidden/>
              </w:rPr>
              <w:fldChar w:fldCharType="end"/>
            </w:r>
          </w:hyperlink>
        </w:p>
        <w:p w:rsidR="001459D7" w:rsidRPr="001459D7" w:rsidRDefault="002A0101">
          <w:pPr>
            <w:pStyle w:val="Verzeichnis3"/>
            <w:tabs>
              <w:tab w:val="right" w:leader="dot" w:pos="9062"/>
            </w:tabs>
            <w:rPr>
              <w:rFonts w:ascii="Arial" w:hAnsi="Arial" w:cs="Arial"/>
              <w:noProof/>
              <w:lang w:val="de-AT" w:eastAsia="de-AT"/>
            </w:rPr>
          </w:pPr>
          <w:hyperlink w:anchor="_Toc294469082" w:history="1">
            <w:r w:rsidR="001459D7" w:rsidRPr="001459D7">
              <w:rPr>
                <w:rStyle w:val="Hyperlink"/>
                <w:rFonts w:ascii="Arial" w:hAnsi="Arial" w:cs="Arial"/>
                <w:noProof/>
                <w:lang w:val="en-US"/>
              </w:rPr>
              <w:t>Food price vs. biofuels production (econometric analysis)</w:t>
            </w:r>
            <w:r w:rsidR="001459D7" w:rsidRPr="001459D7">
              <w:rPr>
                <w:rFonts w:ascii="Arial" w:hAnsi="Arial" w:cs="Arial"/>
                <w:noProof/>
                <w:webHidden/>
              </w:rPr>
              <w:tab/>
            </w:r>
            <w:r w:rsidRPr="001459D7">
              <w:rPr>
                <w:rFonts w:ascii="Arial" w:hAnsi="Arial" w:cs="Arial"/>
                <w:noProof/>
                <w:webHidden/>
              </w:rPr>
              <w:fldChar w:fldCharType="begin"/>
            </w:r>
            <w:r w:rsidR="001459D7" w:rsidRPr="001459D7">
              <w:rPr>
                <w:rFonts w:ascii="Arial" w:hAnsi="Arial" w:cs="Arial"/>
                <w:noProof/>
                <w:webHidden/>
              </w:rPr>
              <w:instrText xml:space="preserve"> PAGEREF _Toc294469082 \h </w:instrText>
            </w:r>
            <w:r w:rsidRPr="001459D7">
              <w:rPr>
                <w:rFonts w:ascii="Arial" w:hAnsi="Arial" w:cs="Arial"/>
                <w:noProof/>
                <w:webHidden/>
              </w:rPr>
            </w:r>
            <w:r w:rsidRPr="001459D7">
              <w:rPr>
                <w:rFonts w:ascii="Arial" w:hAnsi="Arial" w:cs="Arial"/>
                <w:noProof/>
                <w:webHidden/>
              </w:rPr>
              <w:fldChar w:fldCharType="separate"/>
            </w:r>
            <w:r w:rsidR="001459D7" w:rsidRPr="001459D7">
              <w:rPr>
                <w:rFonts w:ascii="Arial" w:hAnsi="Arial" w:cs="Arial"/>
                <w:noProof/>
                <w:webHidden/>
              </w:rPr>
              <w:t>21</w:t>
            </w:r>
            <w:r w:rsidRPr="001459D7">
              <w:rPr>
                <w:rFonts w:ascii="Arial" w:hAnsi="Arial" w:cs="Arial"/>
                <w:noProof/>
                <w:webHidden/>
              </w:rPr>
              <w:fldChar w:fldCharType="end"/>
            </w:r>
          </w:hyperlink>
        </w:p>
        <w:p w:rsidR="001459D7" w:rsidRPr="001459D7" w:rsidRDefault="002A0101">
          <w:pPr>
            <w:pStyle w:val="Verzeichnis1"/>
            <w:tabs>
              <w:tab w:val="left" w:pos="440"/>
              <w:tab w:val="right" w:leader="dot" w:pos="9062"/>
            </w:tabs>
            <w:rPr>
              <w:rFonts w:eastAsiaTheme="minorEastAsia" w:cs="Arial"/>
              <w:noProof/>
              <w:lang w:val="de-AT" w:eastAsia="de-AT"/>
            </w:rPr>
          </w:pPr>
          <w:hyperlink w:anchor="_Toc294469083" w:history="1">
            <w:r w:rsidR="001459D7" w:rsidRPr="001459D7">
              <w:rPr>
                <w:rStyle w:val="Hyperlink"/>
                <w:rFonts w:cs="Arial"/>
                <w:noProof/>
                <w:lang w:val="en-US"/>
              </w:rPr>
              <w:t>5.</w:t>
            </w:r>
            <w:r w:rsidR="001459D7" w:rsidRPr="001459D7">
              <w:rPr>
                <w:rFonts w:eastAsiaTheme="minorEastAsia" w:cs="Arial"/>
                <w:noProof/>
                <w:lang w:val="de-AT" w:eastAsia="de-AT"/>
              </w:rPr>
              <w:tab/>
            </w:r>
            <w:r w:rsidR="001459D7" w:rsidRPr="001459D7">
              <w:rPr>
                <w:rStyle w:val="Hyperlink"/>
                <w:rFonts w:cs="Arial"/>
                <w:noProof/>
                <w:lang w:val="en-US"/>
              </w:rPr>
              <w:t>Discussion of results and future perspectives</w:t>
            </w:r>
            <w:r w:rsidR="001459D7" w:rsidRPr="001459D7">
              <w:rPr>
                <w:rFonts w:cs="Arial"/>
                <w:noProof/>
                <w:webHidden/>
              </w:rPr>
              <w:tab/>
            </w:r>
            <w:r w:rsidRPr="001459D7">
              <w:rPr>
                <w:rFonts w:cs="Arial"/>
                <w:noProof/>
                <w:webHidden/>
              </w:rPr>
              <w:fldChar w:fldCharType="begin"/>
            </w:r>
            <w:r w:rsidR="001459D7" w:rsidRPr="001459D7">
              <w:rPr>
                <w:rFonts w:cs="Arial"/>
                <w:noProof/>
                <w:webHidden/>
              </w:rPr>
              <w:instrText xml:space="preserve"> PAGEREF _Toc294469083 \h </w:instrText>
            </w:r>
            <w:r w:rsidRPr="001459D7">
              <w:rPr>
                <w:rFonts w:cs="Arial"/>
                <w:noProof/>
                <w:webHidden/>
              </w:rPr>
            </w:r>
            <w:r w:rsidRPr="001459D7">
              <w:rPr>
                <w:rFonts w:cs="Arial"/>
                <w:noProof/>
                <w:webHidden/>
              </w:rPr>
              <w:fldChar w:fldCharType="separate"/>
            </w:r>
            <w:r w:rsidR="001459D7" w:rsidRPr="001459D7">
              <w:rPr>
                <w:rFonts w:cs="Arial"/>
                <w:noProof/>
                <w:webHidden/>
              </w:rPr>
              <w:t>23</w:t>
            </w:r>
            <w:r w:rsidRPr="001459D7">
              <w:rPr>
                <w:rFonts w:cs="Arial"/>
                <w:noProof/>
                <w:webHidden/>
              </w:rPr>
              <w:fldChar w:fldCharType="end"/>
            </w:r>
          </w:hyperlink>
        </w:p>
        <w:p w:rsidR="001459D7" w:rsidRPr="001459D7" w:rsidRDefault="002A0101">
          <w:pPr>
            <w:pStyle w:val="Verzeichnis1"/>
            <w:tabs>
              <w:tab w:val="left" w:pos="440"/>
              <w:tab w:val="right" w:leader="dot" w:pos="9062"/>
            </w:tabs>
            <w:rPr>
              <w:rFonts w:eastAsiaTheme="minorEastAsia" w:cs="Arial"/>
              <w:noProof/>
              <w:lang w:val="de-AT" w:eastAsia="de-AT"/>
            </w:rPr>
          </w:pPr>
          <w:hyperlink w:anchor="_Toc294469084" w:history="1">
            <w:r w:rsidR="001459D7" w:rsidRPr="001459D7">
              <w:rPr>
                <w:rStyle w:val="Hyperlink"/>
                <w:rFonts w:cs="Arial"/>
                <w:noProof/>
              </w:rPr>
              <w:t>6.</w:t>
            </w:r>
            <w:r w:rsidR="001459D7" w:rsidRPr="001459D7">
              <w:rPr>
                <w:rFonts w:eastAsiaTheme="minorEastAsia" w:cs="Arial"/>
                <w:noProof/>
                <w:lang w:val="de-AT" w:eastAsia="de-AT"/>
              </w:rPr>
              <w:tab/>
            </w:r>
            <w:r w:rsidR="001459D7" w:rsidRPr="001459D7">
              <w:rPr>
                <w:rStyle w:val="Hyperlink"/>
                <w:rFonts w:cs="Arial"/>
                <w:noProof/>
              </w:rPr>
              <w:t>Index of Figures</w:t>
            </w:r>
            <w:r w:rsidR="001459D7" w:rsidRPr="001459D7">
              <w:rPr>
                <w:rFonts w:cs="Arial"/>
                <w:noProof/>
                <w:webHidden/>
              </w:rPr>
              <w:tab/>
            </w:r>
            <w:r w:rsidRPr="001459D7">
              <w:rPr>
                <w:rFonts w:cs="Arial"/>
                <w:noProof/>
                <w:webHidden/>
              </w:rPr>
              <w:fldChar w:fldCharType="begin"/>
            </w:r>
            <w:r w:rsidR="001459D7" w:rsidRPr="001459D7">
              <w:rPr>
                <w:rFonts w:cs="Arial"/>
                <w:noProof/>
                <w:webHidden/>
              </w:rPr>
              <w:instrText xml:space="preserve"> PAGEREF _Toc294469084 \h </w:instrText>
            </w:r>
            <w:r w:rsidRPr="001459D7">
              <w:rPr>
                <w:rFonts w:cs="Arial"/>
                <w:noProof/>
                <w:webHidden/>
              </w:rPr>
            </w:r>
            <w:r w:rsidRPr="001459D7">
              <w:rPr>
                <w:rFonts w:cs="Arial"/>
                <w:noProof/>
                <w:webHidden/>
              </w:rPr>
              <w:fldChar w:fldCharType="separate"/>
            </w:r>
            <w:r w:rsidR="001459D7" w:rsidRPr="001459D7">
              <w:rPr>
                <w:rFonts w:cs="Arial"/>
                <w:noProof/>
                <w:webHidden/>
              </w:rPr>
              <w:t>23</w:t>
            </w:r>
            <w:r w:rsidRPr="001459D7">
              <w:rPr>
                <w:rFonts w:cs="Arial"/>
                <w:noProof/>
                <w:webHidden/>
              </w:rPr>
              <w:fldChar w:fldCharType="end"/>
            </w:r>
          </w:hyperlink>
        </w:p>
        <w:p w:rsidR="001459D7" w:rsidRPr="001459D7" w:rsidRDefault="002A0101">
          <w:pPr>
            <w:pStyle w:val="Verzeichnis1"/>
            <w:tabs>
              <w:tab w:val="left" w:pos="440"/>
              <w:tab w:val="right" w:leader="dot" w:pos="9062"/>
            </w:tabs>
            <w:rPr>
              <w:rFonts w:eastAsiaTheme="minorEastAsia" w:cs="Arial"/>
              <w:noProof/>
              <w:lang w:val="de-AT" w:eastAsia="de-AT"/>
            </w:rPr>
          </w:pPr>
          <w:hyperlink w:anchor="_Toc294469085" w:history="1">
            <w:r w:rsidR="001459D7" w:rsidRPr="001459D7">
              <w:rPr>
                <w:rStyle w:val="Hyperlink"/>
                <w:rFonts w:cs="Arial"/>
                <w:noProof/>
              </w:rPr>
              <w:t>7.</w:t>
            </w:r>
            <w:r w:rsidR="001459D7" w:rsidRPr="001459D7">
              <w:rPr>
                <w:rFonts w:eastAsiaTheme="minorEastAsia" w:cs="Arial"/>
                <w:noProof/>
                <w:lang w:val="de-AT" w:eastAsia="de-AT"/>
              </w:rPr>
              <w:tab/>
            </w:r>
            <w:r w:rsidR="001459D7" w:rsidRPr="001459D7">
              <w:rPr>
                <w:rStyle w:val="Hyperlink"/>
                <w:rFonts w:cs="Arial"/>
                <w:noProof/>
              </w:rPr>
              <w:t>Index of Tables</w:t>
            </w:r>
            <w:r w:rsidR="001459D7" w:rsidRPr="001459D7">
              <w:rPr>
                <w:rFonts w:cs="Arial"/>
                <w:noProof/>
                <w:webHidden/>
              </w:rPr>
              <w:tab/>
            </w:r>
            <w:r w:rsidRPr="001459D7">
              <w:rPr>
                <w:rFonts w:cs="Arial"/>
                <w:noProof/>
                <w:webHidden/>
              </w:rPr>
              <w:fldChar w:fldCharType="begin"/>
            </w:r>
            <w:r w:rsidR="001459D7" w:rsidRPr="001459D7">
              <w:rPr>
                <w:rFonts w:cs="Arial"/>
                <w:noProof/>
                <w:webHidden/>
              </w:rPr>
              <w:instrText xml:space="preserve"> PAGEREF _Toc294469085 \h </w:instrText>
            </w:r>
            <w:r w:rsidRPr="001459D7">
              <w:rPr>
                <w:rFonts w:cs="Arial"/>
                <w:noProof/>
                <w:webHidden/>
              </w:rPr>
            </w:r>
            <w:r w:rsidRPr="001459D7">
              <w:rPr>
                <w:rFonts w:cs="Arial"/>
                <w:noProof/>
                <w:webHidden/>
              </w:rPr>
              <w:fldChar w:fldCharType="separate"/>
            </w:r>
            <w:r w:rsidR="001459D7" w:rsidRPr="001459D7">
              <w:rPr>
                <w:rFonts w:cs="Arial"/>
                <w:noProof/>
                <w:webHidden/>
              </w:rPr>
              <w:t>24</w:t>
            </w:r>
            <w:r w:rsidRPr="001459D7">
              <w:rPr>
                <w:rFonts w:cs="Arial"/>
                <w:noProof/>
                <w:webHidden/>
              </w:rPr>
              <w:fldChar w:fldCharType="end"/>
            </w:r>
          </w:hyperlink>
        </w:p>
        <w:p w:rsidR="001459D7" w:rsidRPr="001459D7" w:rsidRDefault="002A0101">
          <w:pPr>
            <w:pStyle w:val="Verzeichnis1"/>
            <w:tabs>
              <w:tab w:val="left" w:pos="440"/>
              <w:tab w:val="right" w:leader="dot" w:pos="9062"/>
            </w:tabs>
            <w:rPr>
              <w:rFonts w:eastAsiaTheme="minorEastAsia" w:cs="Arial"/>
              <w:noProof/>
              <w:lang w:val="de-AT" w:eastAsia="de-AT"/>
            </w:rPr>
          </w:pPr>
          <w:hyperlink w:anchor="_Toc294469086" w:history="1">
            <w:r w:rsidR="001459D7" w:rsidRPr="001459D7">
              <w:rPr>
                <w:rStyle w:val="Hyperlink"/>
                <w:rFonts w:cs="Arial"/>
                <w:noProof/>
              </w:rPr>
              <w:t>8.</w:t>
            </w:r>
            <w:r w:rsidR="001459D7" w:rsidRPr="001459D7">
              <w:rPr>
                <w:rFonts w:eastAsiaTheme="minorEastAsia" w:cs="Arial"/>
                <w:noProof/>
                <w:lang w:val="de-AT" w:eastAsia="de-AT"/>
              </w:rPr>
              <w:tab/>
            </w:r>
            <w:r w:rsidR="001459D7" w:rsidRPr="001459D7">
              <w:rPr>
                <w:rStyle w:val="Hyperlink"/>
                <w:rFonts w:cs="Arial"/>
                <w:noProof/>
              </w:rPr>
              <w:t>References</w:t>
            </w:r>
            <w:r w:rsidR="001459D7" w:rsidRPr="001459D7">
              <w:rPr>
                <w:rFonts w:cs="Arial"/>
                <w:noProof/>
                <w:webHidden/>
              </w:rPr>
              <w:tab/>
            </w:r>
            <w:r w:rsidRPr="001459D7">
              <w:rPr>
                <w:rFonts w:cs="Arial"/>
                <w:noProof/>
                <w:webHidden/>
              </w:rPr>
              <w:fldChar w:fldCharType="begin"/>
            </w:r>
            <w:r w:rsidR="001459D7" w:rsidRPr="001459D7">
              <w:rPr>
                <w:rFonts w:cs="Arial"/>
                <w:noProof/>
                <w:webHidden/>
              </w:rPr>
              <w:instrText xml:space="preserve"> PAGEREF _Toc294469086 \h </w:instrText>
            </w:r>
            <w:r w:rsidRPr="001459D7">
              <w:rPr>
                <w:rFonts w:cs="Arial"/>
                <w:noProof/>
                <w:webHidden/>
              </w:rPr>
            </w:r>
            <w:r w:rsidRPr="001459D7">
              <w:rPr>
                <w:rFonts w:cs="Arial"/>
                <w:noProof/>
                <w:webHidden/>
              </w:rPr>
              <w:fldChar w:fldCharType="separate"/>
            </w:r>
            <w:r w:rsidR="001459D7" w:rsidRPr="001459D7">
              <w:rPr>
                <w:rFonts w:cs="Arial"/>
                <w:noProof/>
                <w:webHidden/>
              </w:rPr>
              <w:t>24</w:t>
            </w:r>
            <w:r w:rsidRPr="001459D7">
              <w:rPr>
                <w:rFonts w:cs="Arial"/>
                <w:noProof/>
                <w:webHidden/>
              </w:rPr>
              <w:fldChar w:fldCharType="end"/>
            </w:r>
          </w:hyperlink>
        </w:p>
        <w:p w:rsidR="001459D7" w:rsidRPr="001459D7" w:rsidRDefault="002A0101">
          <w:pPr>
            <w:pStyle w:val="Verzeichnis1"/>
            <w:tabs>
              <w:tab w:val="left" w:pos="440"/>
              <w:tab w:val="right" w:leader="dot" w:pos="9062"/>
            </w:tabs>
            <w:rPr>
              <w:rFonts w:eastAsiaTheme="minorEastAsia" w:cs="Arial"/>
              <w:noProof/>
              <w:lang w:val="de-AT" w:eastAsia="de-AT"/>
            </w:rPr>
          </w:pPr>
          <w:hyperlink w:anchor="_Toc294469087" w:history="1">
            <w:r w:rsidR="001459D7" w:rsidRPr="001459D7">
              <w:rPr>
                <w:rStyle w:val="Hyperlink"/>
                <w:rFonts w:cs="Arial"/>
                <w:noProof/>
              </w:rPr>
              <w:t>9.</w:t>
            </w:r>
            <w:r w:rsidR="001459D7" w:rsidRPr="001459D7">
              <w:rPr>
                <w:rFonts w:eastAsiaTheme="minorEastAsia" w:cs="Arial"/>
                <w:noProof/>
                <w:lang w:val="de-AT" w:eastAsia="de-AT"/>
              </w:rPr>
              <w:tab/>
            </w:r>
            <w:r w:rsidR="001459D7" w:rsidRPr="001459D7">
              <w:rPr>
                <w:rStyle w:val="Hyperlink"/>
                <w:rFonts w:cs="Arial"/>
                <w:noProof/>
              </w:rPr>
              <w:t>Appendix</w:t>
            </w:r>
            <w:r w:rsidR="001459D7" w:rsidRPr="001459D7">
              <w:rPr>
                <w:rFonts w:cs="Arial"/>
                <w:noProof/>
                <w:webHidden/>
              </w:rPr>
              <w:tab/>
            </w:r>
            <w:r w:rsidRPr="001459D7">
              <w:rPr>
                <w:rFonts w:cs="Arial"/>
                <w:noProof/>
                <w:webHidden/>
              </w:rPr>
              <w:fldChar w:fldCharType="begin"/>
            </w:r>
            <w:r w:rsidR="001459D7" w:rsidRPr="001459D7">
              <w:rPr>
                <w:rFonts w:cs="Arial"/>
                <w:noProof/>
                <w:webHidden/>
              </w:rPr>
              <w:instrText xml:space="preserve"> PAGEREF _Toc294469087 \h </w:instrText>
            </w:r>
            <w:r w:rsidRPr="001459D7">
              <w:rPr>
                <w:rFonts w:cs="Arial"/>
                <w:noProof/>
                <w:webHidden/>
              </w:rPr>
            </w:r>
            <w:r w:rsidRPr="001459D7">
              <w:rPr>
                <w:rFonts w:cs="Arial"/>
                <w:noProof/>
                <w:webHidden/>
              </w:rPr>
              <w:fldChar w:fldCharType="separate"/>
            </w:r>
            <w:r w:rsidR="001459D7" w:rsidRPr="001459D7">
              <w:rPr>
                <w:rFonts w:cs="Arial"/>
                <w:noProof/>
                <w:webHidden/>
              </w:rPr>
              <w:t>26</w:t>
            </w:r>
            <w:r w:rsidRPr="001459D7">
              <w:rPr>
                <w:rFonts w:cs="Arial"/>
                <w:noProof/>
                <w:webHidden/>
              </w:rPr>
              <w:fldChar w:fldCharType="end"/>
            </w:r>
          </w:hyperlink>
        </w:p>
        <w:p w:rsidR="006F3E2D" w:rsidRPr="00CF7033" w:rsidRDefault="002A0101">
          <w:pPr>
            <w:rPr>
              <w:rFonts w:cs="Arial"/>
              <w:lang w:val="de-DE"/>
            </w:rPr>
          </w:pPr>
          <w:r w:rsidRPr="001459D7">
            <w:rPr>
              <w:rFonts w:cs="Arial"/>
              <w:lang w:val="de-DE"/>
            </w:rPr>
            <w:fldChar w:fldCharType="end"/>
          </w:r>
        </w:p>
      </w:sdtContent>
    </w:sdt>
    <w:p w:rsidR="006F3E2D" w:rsidRPr="00CF7033" w:rsidRDefault="006F3E2D" w:rsidP="006F3E2D">
      <w:pPr>
        <w:rPr>
          <w:rFonts w:cs="Arial"/>
          <w:lang w:val="de-DE" w:bidi="en-US"/>
        </w:rPr>
      </w:pPr>
    </w:p>
    <w:p w:rsidR="006F3E2D" w:rsidRPr="00CF7033" w:rsidRDefault="006F3E2D">
      <w:pPr>
        <w:spacing w:after="0" w:line="240" w:lineRule="auto"/>
        <w:rPr>
          <w:rFonts w:eastAsiaTheme="majorEastAsia" w:cs="Arial"/>
          <w:b/>
          <w:bCs/>
          <w:kern w:val="28"/>
          <w:sz w:val="24"/>
          <w:szCs w:val="24"/>
          <w:lang w:val="de-AT" w:bidi="en-US"/>
        </w:rPr>
      </w:pPr>
      <w:r w:rsidRPr="00CF7033">
        <w:rPr>
          <w:rFonts w:cs="Arial"/>
          <w:sz w:val="24"/>
          <w:szCs w:val="24"/>
        </w:rPr>
        <w:br w:type="page"/>
      </w:r>
    </w:p>
    <w:p w:rsidR="009333AE" w:rsidRPr="003C62CC" w:rsidRDefault="009333AE" w:rsidP="003C62CC">
      <w:pPr>
        <w:pStyle w:val="berschrift1"/>
        <w:rPr>
          <w:lang w:val="en-US"/>
        </w:rPr>
      </w:pPr>
      <w:bookmarkStart w:id="0" w:name="_Toc294469061"/>
      <w:r w:rsidRPr="003C62CC">
        <w:rPr>
          <w:lang w:val="en-US"/>
        </w:rPr>
        <w:lastRenderedPageBreak/>
        <w:t>Motivation</w:t>
      </w:r>
      <w:bookmarkEnd w:id="0"/>
    </w:p>
    <w:p w:rsidR="00721FD9" w:rsidRDefault="00721FD9" w:rsidP="00721FD9">
      <w:pPr>
        <w:rPr>
          <w:lang w:val="en-US" w:bidi="en-US"/>
        </w:rPr>
      </w:pPr>
    </w:p>
    <w:p w:rsidR="009333AE" w:rsidRPr="004558EF" w:rsidRDefault="00731B58" w:rsidP="00D610E7">
      <w:pPr>
        <w:rPr>
          <w:lang w:val="en-US"/>
        </w:rPr>
      </w:pPr>
      <w:r>
        <w:rPr>
          <w:lang w:val="en-US"/>
        </w:rPr>
        <w:t>Climate change and its impacts have been discussed thoroughly in the past few years by governments around the world. It is obvious that several actions have to be taken against further CO</w:t>
      </w:r>
      <w:r>
        <w:rPr>
          <w:lang w:val="en-US"/>
        </w:rPr>
        <w:softHyphen/>
      </w:r>
      <w:r>
        <w:rPr>
          <w:lang w:val="en-US"/>
        </w:rPr>
        <w:softHyphen/>
      </w:r>
      <w:r w:rsidRPr="00302C5A">
        <w:rPr>
          <w:vertAlign w:val="subscript"/>
          <w:lang w:val="en-US"/>
        </w:rPr>
        <w:t>2</w:t>
      </w:r>
      <w:r>
        <w:rPr>
          <w:lang w:val="en-US"/>
        </w:rPr>
        <w:t xml:space="preserve"> emissions. One of these measures are biofuels which in the last years mainly were discussed because of their </w:t>
      </w:r>
      <w:r w:rsidR="009333AE" w:rsidRPr="004558EF">
        <w:rPr>
          <w:lang w:val="en-US"/>
        </w:rPr>
        <w:t xml:space="preserve">competition </w:t>
      </w:r>
      <w:r>
        <w:rPr>
          <w:lang w:val="en-US"/>
        </w:rPr>
        <w:t>with</w:t>
      </w:r>
      <w:r w:rsidR="009333AE" w:rsidRPr="004558EF">
        <w:rPr>
          <w:lang w:val="en-US"/>
        </w:rPr>
        <w:t xml:space="preserve"> food productio</w:t>
      </w:r>
      <w:r w:rsidR="0085268E">
        <w:rPr>
          <w:lang w:val="en-US"/>
        </w:rPr>
        <w:t>n and the resources for biofuel</w:t>
      </w:r>
      <w:r w:rsidR="009333AE" w:rsidRPr="004558EF">
        <w:rPr>
          <w:lang w:val="en-US"/>
        </w:rPr>
        <w:t xml:space="preserve"> production </w:t>
      </w:r>
      <w:r>
        <w:rPr>
          <w:lang w:val="en-US"/>
        </w:rPr>
        <w:t>within the</w:t>
      </w:r>
      <w:r w:rsidR="009333AE" w:rsidRPr="004558EF">
        <w:rPr>
          <w:lang w:val="en-US"/>
        </w:rPr>
        <w:t xml:space="preserve"> environment of the food crisis</w:t>
      </w:r>
      <w:r>
        <w:rPr>
          <w:lang w:val="en-US"/>
        </w:rPr>
        <w:t>.</w:t>
      </w:r>
      <w:r w:rsidR="009333AE" w:rsidRPr="004558EF">
        <w:rPr>
          <w:lang w:val="en-US"/>
        </w:rPr>
        <w:t xml:space="preserve"> </w:t>
      </w:r>
      <w:r>
        <w:rPr>
          <w:lang w:val="en-US"/>
        </w:rPr>
        <w:t>This has</w:t>
      </w:r>
      <w:r w:rsidR="009333AE" w:rsidRPr="004558EF">
        <w:rPr>
          <w:lang w:val="en-US"/>
        </w:rPr>
        <w:t xml:space="preserve"> </w:t>
      </w:r>
      <w:r>
        <w:rPr>
          <w:lang w:val="en-US"/>
        </w:rPr>
        <w:t>drawn</w:t>
      </w:r>
      <w:r w:rsidR="009333AE" w:rsidRPr="004558EF">
        <w:rPr>
          <w:lang w:val="en-US"/>
        </w:rPr>
        <w:t xml:space="preserve"> our attention to the fie</w:t>
      </w:r>
      <w:r>
        <w:rPr>
          <w:lang w:val="en-US"/>
        </w:rPr>
        <w:t xml:space="preserve">ld of biofuels. </w:t>
      </w:r>
      <w:r w:rsidR="001459D7">
        <w:rPr>
          <w:lang w:val="en-US"/>
        </w:rPr>
        <w:t>During</w:t>
      </w:r>
      <w:r>
        <w:rPr>
          <w:lang w:val="en-US"/>
        </w:rPr>
        <w:t xml:space="preserve"> literature research</w:t>
      </w:r>
      <w:r w:rsidR="009333AE" w:rsidRPr="004558EF">
        <w:rPr>
          <w:lang w:val="en-US"/>
        </w:rPr>
        <w:t xml:space="preserve"> we have f</w:t>
      </w:r>
      <w:r w:rsidR="00C740AF">
        <w:rPr>
          <w:lang w:val="en-US"/>
        </w:rPr>
        <w:t xml:space="preserve">ound many articles that </w:t>
      </w:r>
      <w:r>
        <w:rPr>
          <w:lang w:val="en-US"/>
        </w:rPr>
        <w:t>illustrated</w:t>
      </w:r>
      <w:r w:rsidR="009333AE" w:rsidRPr="004558EF">
        <w:rPr>
          <w:lang w:val="en-US"/>
        </w:rPr>
        <w:t xml:space="preserve"> </w:t>
      </w:r>
      <w:r w:rsidR="00C740AF">
        <w:rPr>
          <w:lang w:val="en-US"/>
        </w:rPr>
        <w:t>a</w:t>
      </w:r>
      <w:r>
        <w:rPr>
          <w:lang w:val="en-US"/>
        </w:rPr>
        <w:t>n interrelation</w:t>
      </w:r>
      <w:r w:rsidR="009333AE" w:rsidRPr="004558EF">
        <w:rPr>
          <w:lang w:val="en-US"/>
        </w:rPr>
        <w:t xml:space="preserve"> between food prices and </w:t>
      </w:r>
      <w:r w:rsidR="00C740AF">
        <w:rPr>
          <w:lang w:val="en-US"/>
        </w:rPr>
        <w:t>biofuel</w:t>
      </w:r>
      <w:r w:rsidR="009333AE" w:rsidRPr="004558EF">
        <w:rPr>
          <w:lang w:val="en-US"/>
        </w:rPr>
        <w:t xml:space="preserve"> production, but also many articles that argued with other potential factors for increased food prices and marked the biofuels production as negligible factor. This </w:t>
      </w:r>
      <w:r>
        <w:rPr>
          <w:lang w:val="en-US"/>
        </w:rPr>
        <w:t>disagreement</w:t>
      </w:r>
      <w:r w:rsidR="009333AE" w:rsidRPr="004558EF">
        <w:rPr>
          <w:lang w:val="en-US"/>
        </w:rPr>
        <w:t xml:space="preserve"> in academic literature attracted us to the extent that we want also at least partly contribute to this debate </w:t>
      </w:r>
      <w:r w:rsidR="00C740AF">
        <w:rPr>
          <w:lang w:val="en-US"/>
        </w:rPr>
        <w:t>with</w:t>
      </w:r>
      <w:r w:rsidR="009333AE" w:rsidRPr="004558EF">
        <w:rPr>
          <w:lang w:val="en-US"/>
        </w:rPr>
        <w:t xml:space="preserve"> this paper. Even though we hardly agree that the 1</w:t>
      </w:r>
      <w:r w:rsidR="009333AE" w:rsidRPr="004558EF">
        <w:rPr>
          <w:vertAlign w:val="superscript"/>
          <w:lang w:val="en-US"/>
        </w:rPr>
        <w:t>st</w:t>
      </w:r>
      <w:r w:rsidR="009333AE" w:rsidRPr="004558EF">
        <w:rPr>
          <w:lang w:val="en-US"/>
        </w:rPr>
        <w:t xml:space="preserve"> generation biofuels are </w:t>
      </w:r>
      <w:r w:rsidR="0085268E">
        <w:rPr>
          <w:lang w:val="en-US"/>
        </w:rPr>
        <w:t>an</w:t>
      </w:r>
      <w:r w:rsidR="009333AE" w:rsidRPr="004558EF">
        <w:rPr>
          <w:lang w:val="en-US"/>
        </w:rPr>
        <w:t xml:space="preserve"> effective solution to the climate change pro</w:t>
      </w:r>
      <w:r w:rsidR="00C740AF">
        <w:rPr>
          <w:lang w:val="en-US"/>
        </w:rPr>
        <w:t>blem because of the very low CO</w:t>
      </w:r>
      <w:r w:rsidR="00C740AF">
        <w:rPr>
          <w:vertAlign w:val="subscript"/>
          <w:lang w:val="en-US"/>
        </w:rPr>
        <w:t>2</w:t>
      </w:r>
      <w:r w:rsidR="009333AE" w:rsidRPr="004558EF">
        <w:rPr>
          <w:lang w:val="en-US"/>
        </w:rPr>
        <w:t xml:space="preserve"> emissions reduction, this paper would like to evaluate this issue objectively and to concentrate only </w:t>
      </w:r>
      <w:r w:rsidR="0085268E">
        <w:rPr>
          <w:lang w:val="en-US"/>
        </w:rPr>
        <w:t>on</w:t>
      </w:r>
      <w:r w:rsidR="009333AE" w:rsidRPr="004558EF">
        <w:rPr>
          <w:lang w:val="en-US"/>
        </w:rPr>
        <w:t xml:space="preserve"> the relation between food prices and the production of biofuels in the analysis section without taking in mind other negative externalities of the production of 1</w:t>
      </w:r>
      <w:r w:rsidR="009333AE" w:rsidRPr="004558EF">
        <w:rPr>
          <w:vertAlign w:val="superscript"/>
          <w:lang w:val="en-US"/>
        </w:rPr>
        <w:t>st</w:t>
      </w:r>
      <w:r w:rsidR="009333AE" w:rsidRPr="004558EF">
        <w:rPr>
          <w:lang w:val="en-US"/>
        </w:rPr>
        <w:t xml:space="preserve"> generation biofuels. </w:t>
      </w:r>
    </w:p>
    <w:p w:rsidR="009333AE" w:rsidRPr="003C62CC" w:rsidRDefault="009333AE" w:rsidP="003C62CC">
      <w:pPr>
        <w:pStyle w:val="berschrift1"/>
        <w:rPr>
          <w:lang w:val="en-US"/>
        </w:rPr>
      </w:pPr>
      <w:bookmarkStart w:id="1" w:name="_Toc294469062"/>
      <w:r w:rsidRPr="003C62CC">
        <w:rPr>
          <w:lang w:val="en-US"/>
        </w:rPr>
        <w:t>Methodology</w:t>
      </w:r>
      <w:bookmarkEnd w:id="1"/>
    </w:p>
    <w:p w:rsidR="009333AE" w:rsidRDefault="009333AE" w:rsidP="00D610E7">
      <w:pPr>
        <w:rPr>
          <w:lang w:val="en-US"/>
        </w:rPr>
      </w:pPr>
      <w:r w:rsidRPr="004558EF">
        <w:rPr>
          <w:lang w:val="en-US"/>
        </w:rPr>
        <w:t xml:space="preserve">We will use methods of synthesis in the section of literature review about the connection of biofuels and food prices. The method of analyses on econometric basis </w:t>
      </w:r>
      <w:r w:rsidR="00A32658">
        <w:rPr>
          <w:lang w:val="en-US"/>
        </w:rPr>
        <w:t>relating</w:t>
      </w:r>
      <w:r w:rsidRPr="004558EF">
        <w:rPr>
          <w:lang w:val="en-US"/>
        </w:rPr>
        <w:t xml:space="preserve"> the two variables of food price and biofuels production will be carried out in the second section. </w:t>
      </w:r>
    </w:p>
    <w:p w:rsidR="00C35787" w:rsidRPr="004558EF" w:rsidRDefault="00C35787" w:rsidP="00C35787">
      <w:pPr>
        <w:pStyle w:val="berschrift1"/>
      </w:pPr>
      <w:bookmarkStart w:id="2" w:name="_Toc294469063"/>
      <w:r w:rsidRPr="004558EF">
        <w:t>Introduction</w:t>
      </w:r>
      <w:bookmarkEnd w:id="2"/>
    </w:p>
    <w:p w:rsidR="005D4A9E" w:rsidRDefault="005D4A9E" w:rsidP="00F64311">
      <w:pPr>
        <w:jc w:val="right"/>
        <w:rPr>
          <w:i/>
          <w:color w:val="000000"/>
          <w:sz w:val="20"/>
          <w:szCs w:val="20"/>
          <w:lang w:val="en-US" w:eastAsia="cs-CZ"/>
        </w:rPr>
      </w:pPr>
    </w:p>
    <w:p w:rsidR="00F64311" w:rsidRPr="00D966B2" w:rsidRDefault="00C35787" w:rsidP="00F64311">
      <w:pPr>
        <w:jc w:val="right"/>
        <w:rPr>
          <w:i/>
          <w:color w:val="000000"/>
          <w:sz w:val="20"/>
          <w:szCs w:val="20"/>
          <w:lang w:val="en-US" w:eastAsia="cs-CZ"/>
        </w:rPr>
      </w:pPr>
      <w:r w:rsidRPr="00D966B2">
        <w:rPr>
          <w:i/>
          <w:color w:val="000000"/>
          <w:sz w:val="20"/>
          <w:szCs w:val="20"/>
          <w:lang w:val="en-US" w:eastAsia="cs-CZ"/>
        </w:rPr>
        <w:t xml:space="preserve"> </w:t>
      </w:r>
      <w:r w:rsidR="009333AE" w:rsidRPr="00D966B2">
        <w:rPr>
          <w:i/>
          <w:color w:val="000000"/>
          <w:sz w:val="20"/>
          <w:szCs w:val="20"/>
          <w:lang w:val="en-US" w:eastAsia="cs-CZ"/>
        </w:rPr>
        <w:t>“Nicolas Sarkozy, France's president, has rightly identified food price volatility as a priority for his country as it chairs the Group of 20 leading economies this year. Figures released on Wednesday by the UN's Food and Agricultural Organisation show that costs for a range of basic commodities have now surpassed their peaks of 2008. With food accounting for a large and volatile share of tight family budgets in the poorest countries, rising prices are re-emerging as a threat to global growth and social stability.“</w:t>
      </w:r>
    </w:p>
    <w:p w:rsidR="009333AE" w:rsidRDefault="009333AE" w:rsidP="00F64311">
      <w:pPr>
        <w:jc w:val="right"/>
        <w:rPr>
          <w:color w:val="000000"/>
          <w:sz w:val="16"/>
          <w:szCs w:val="16"/>
          <w:lang w:val="en-US" w:eastAsia="cs-CZ"/>
        </w:rPr>
      </w:pPr>
      <w:r w:rsidRPr="00D966B2">
        <w:rPr>
          <w:color w:val="000000"/>
          <w:sz w:val="16"/>
          <w:szCs w:val="16"/>
          <w:lang w:val="en-US" w:eastAsia="cs-CZ"/>
        </w:rPr>
        <w:t xml:space="preserve">(Robert B. Zoellick, </w:t>
      </w:r>
      <w:r w:rsidRPr="00D966B2">
        <w:rPr>
          <w:color w:val="000000"/>
          <w:sz w:val="16"/>
          <w:szCs w:val="16"/>
          <w:lang w:val="en-US"/>
        </w:rPr>
        <w:t xml:space="preserve">president of the World Bank Group, </w:t>
      </w:r>
      <w:r w:rsidR="00F64311" w:rsidRPr="00D966B2">
        <w:rPr>
          <w:color w:val="000000"/>
          <w:sz w:val="16"/>
          <w:szCs w:val="16"/>
          <w:lang w:val="en-US" w:eastAsia="cs-CZ"/>
        </w:rPr>
        <w:t>Financial Times</w:t>
      </w:r>
      <w:r w:rsidRPr="00D966B2">
        <w:rPr>
          <w:color w:val="000000"/>
          <w:sz w:val="16"/>
          <w:szCs w:val="16"/>
          <w:lang w:val="en-US" w:eastAsia="cs-CZ"/>
        </w:rPr>
        <w:t xml:space="preserve">, </w:t>
      </w:r>
      <w:r w:rsidR="0085268E">
        <w:rPr>
          <w:color w:val="000000"/>
          <w:sz w:val="16"/>
          <w:szCs w:val="16"/>
          <w:lang w:val="en-US" w:eastAsia="cs-CZ"/>
        </w:rPr>
        <w:t>05/01/</w:t>
      </w:r>
      <w:r w:rsidRPr="00D966B2">
        <w:rPr>
          <w:color w:val="000000"/>
          <w:sz w:val="16"/>
          <w:szCs w:val="16"/>
          <w:lang w:val="en-US" w:eastAsia="cs-CZ"/>
        </w:rPr>
        <w:t>2011</w:t>
      </w:r>
      <w:r w:rsidRPr="0085268E">
        <w:rPr>
          <w:rStyle w:val="Funotenzeichen"/>
          <w:rFonts w:cs="Arial"/>
          <w:color w:val="000000"/>
          <w:sz w:val="18"/>
          <w:szCs w:val="18"/>
          <w:lang w:val="en-US" w:eastAsia="cs-CZ"/>
        </w:rPr>
        <w:footnoteReference w:id="2"/>
      </w:r>
      <w:r w:rsidRPr="00D966B2">
        <w:rPr>
          <w:color w:val="000000"/>
          <w:sz w:val="16"/>
          <w:szCs w:val="16"/>
          <w:lang w:val="en-US" w:eastAsia="cs-CZ"/>
        </w:rPr>
        <w:t>)</w:t>
      </w:r>
    </w:p>
    <w:p w:rsidR="0070319C" w:rsidRPr="00D966B2" w:rsidRDefault="0070319C" w:rsidP="00F64311">
      <w:pPr>
        <w:jc w:val="right"/>
        <w:rPr>
          <w:color w:val="000000"/>
          <w:sz w:val="16"/>
          <w:szCs w:val="16"/>
          <w:lang w:val="en-US" w:eastAsia="cs-CZ"/>
        </w:rPr>
      </w:pPr>
    </w:p>
    <w:p w:rsidR="00F64311" w:rsidRPr="00F64311" w:rsidRDefault="009333AE" w:rsidP="00F64311">
      <w:pPr>
        <w:jc w:val="right"/>
        <w:rPr>
          <w:i/>
          <w:sz w:val="20"/>
          <w:szCs w:val="20"/>
          <w:lang w:val="en-US"/>
        </w:rPr>
      </w:pPr>
      <w:r w:rsidRPr="00F64311">
        <w:rPr>
          <w:i/>
          <w:sz w:val="20"/>
          <w:szCs w:val="20"/>
          <w:lang w:val="en-US"/>
        </w:rPr>
        <w:t>“The latest FAO Food Price Index averaged 231 points in January, up 3.4 per cent from December and the highest level since it started in 1990, above 2008. Another measure, the World Bank’s food price index, rose by 15 per cent between October and January and is now only 3 per cent below its 2008 peak. Whichever measure is used, the result is the same: 44 million more people thrown into extreme poverty.“</w:t>
      </w:r>
    </w:p>
    <w:p w:rsidR="009333AE" w:rsidRDefault="009333AE" w:rsidP="00D610E7">
      <w:pPr>
        <w:rPr>
          <w:color w:val="000000"/>
          <w:sz w:val="16"/>
          <w:szCs w:val="16"/>
          <w:lang w:val="en-US"/>
        </w:rPr>
      </w:pPr>
      <w:r w:rsidRPr="00D966B2">
        <w:rPr>
          <w:i/>
          <w:color w:val="333333"/>
          <w:sz w:val="16"/>
          <w:szCs w:val="16"/>
          <w:lang w:val="en-US"/>
        </w:rPr>
        <w:t xml:space="preserve"> </w:t>
      </w:r>
      <w:r w:rsidRPr="00D966B2">
        <w:rPr>
          <w:color w:val="333333"/>
          <w:sz w:val="16"/>
          <w:szCs w:val="16"/>
          <w:lang w:val="en-US"/>
        </w:rPr>
        <w:t>(</w:t>
      </w:r>
      <w:r w:rsidR="00F64311" w:rsidRPr="00D966B2">
        <w:rPr>
          <w:rStyle w:val="fullstory1"/>
          <w:rFonts w:ascii="Arial" w:hAnsi="Arial" w:cs="Arial"/>
          <w:color w:val="auto"/>
          <w:sz w:val="16"/>
          <w:szCs w:val="16"/>
          <w:lang w:val="en-US"/>
        </w:rPr>
        <w:t>Article</w:t>
      </w:r>
      <w:r w:rsidR="00F64311" w:rsidRPr="00D966B2">
        <w:rPr>
          <w:rStyle w:val="fullstory1"/>
          <w:rFonts w:ascii="Arial" w:hAnsi="Arial" w:cs="Arial"/>
          <w:sz w:val="16"/>
          <w:szCs w:val="16"/>
          <w:lang w:val="en-US"/>
        </w:rPr>
        <w:t xml:space="preserve">: </w:t>
      </w:r>
      <w:r w:rsidRPr="00D966B2">
        <w:rPr>
          <w:color w:val="000000"/>
          <w:sz w:val="16"/>
          <w:szCs w:val="16"/>
          <w:lang w:val="en-US"/>
        </w:rPr>
        <w:t>„UN food experts call for increased agricultural investment to offset soaring prices,” UN News Center</w:t>
      </w:r>
      <w:r w:rsidRPr="0085268E">
        <w:rPr>
          <w:rStyle w:val="Funotenzeichen"/>
          <w:rFonts w:cs="Arial"/>
          <w:color w:val="000000"/>
          <w:sz w:val="18"/>
          <w:szCs w:val="18"/>
          <w:lang w:val="en-US"/>
        </w:rPr>
        <w:footnoteReference w:id="3"/>
      </w:r>
      <w:r w:rsidR="00F64311" w:rsidRPr="00D966B2">
        <w:rPr>
          <w:color w:val="000000"/>
          <w:sz w:val="16"/>
          <w:szCs w:val="16"/>
          <w:lang w:val="en-US"/>
        </w:rPr>
        <w:t xml:space="preserve">, </w:t>
      </w:r>
      <w:r w:rsidR="0085268E">
        <w:rPr>
          <w:color w:val="000000"/>
          <w:sz w:val="16"/>
          <w:szCs w:val="16"/>
          <w:lang w:val="en-US"/>
        </w:rPr>
        <w:t>18/02/</w:t>
      </w:r>
      <w:r w:rsidR="00F64311" w:rsidRPr="00D966B2">
        <w:rPr>
          <w:color w:val="000000"/>
          <w:sz w:val="16"/>
          <w:szCs w:val="16"/>
          <w:lang w:val="en-US"/>
        </w:rPr>
        <w:t>2011</w:t>
      </w:r>
      <w:r w:rsidRPr="00D966B2">
        <w:rPr>
          <w:color w:val="000000"/>
          <w:sz w:val="16"/>
          <w:szCs w:val="16"/>
          <w:lang w:val="en-US"/>
        </w:rPr>
        <w:t xml:space="preserve">) </w:t>
      </w:r>
    </w:p>
    <w:p w:rsidR="0070319C" w:rsidRDefault="0070319C" w:rsidP="00D610E7">
      <w:pPr>
        <w:rPr>
          <w:color w:val="000000"/>
          <w:sz w:val="16"/>
          <w:szCs w:val="16"/>
          <w:lang w:val="en-US"/>
        </w:rPr>
      </w:pPr>
    </w:p>
    <w:p w:rsidR="0070319C" w:rsidRDefault="0070319C" w:rsidP="0070319C">
      <w:pPr>
        <w:jc w:val="center"/>
      </w:pPr>
      <w:r w:rsidRPr="004558EF">
        <w:rPr>
          <w:noProof/>
          <w:lang w:val="de-AT" w:eastAsia="de-AT"/>
        </w:rPr>
        <w:lastRenderedPageBreak/>
        <w:drawing>
          <wp:inline distT="0" distB="0" distL="0" distR="0">
            <wp:extent cx="4572762" cy="3003804"/>
            <wp:effectExtent l="12192" t="6096" r="6096" b="0"/>
            <wp:docPr id="16" name="Graf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0319C" w:rsidRPr="00D966B2" w:rsidRDefault="0070319C" w:rsidP="00EA4BA0">
      <w:pPr>
        <w:pStyle w:val="Beschriftung"/>
        <w:jc w:val="center"/>
        <w:rPr>
          <w:color w:val="000000"/>
          <w:sz w:val="16"/>
          <w:szCs w:val="16"/>
          <w:lang w:val="en-US"/>
        </w:rPr>
      </w:pPr>
      <w:bookmarkStart w:id="3" w:name="_Toc294469003"/>
      <w:r w:rsidRPr="0070319C">
        <w:rPr>
          <w:color w:val="auto"/>
        </w:rPr>
        <w:t xml:space="preserve">Figure </w:t>
      </w:r>
      <w:r w:rsidR="002A0101" w:rsidRPr="0070319C">
        <w:rPr>
          <w:color w:val="auto"/>
        </w:rPr>
        <w:fldChar w:fldCharType="begin"/>
      </w:r>
      <w:r w:rsidRPr="0070319C">
        <w:rPr>
          <w:color w:val="auto"/>
        </w:rPr>
        <w:instrText xml:space="preserve"> SEQ Figure \* ARABIC </w:instrText>
      </w:r>
      <w:r w:rsidR="002A0101" w:rsidRPr="0070319C">
        <w:rPr>
          <w:color w:val="auto"/>
        </w:rPr>
        <w:fldChar w:fldCharType="separate"/>
      </w:r>
      <w:r w:rsidR="00904569">
        <w:rPr>
          <w:noProof/>
          <w:color w:val="auto"/>
        </w:rPr>
        <w:t>1</w:t>
      </w:r>
      <w:r w:rsidR="002A0101" w:rsidRPr="0070319C">
        <w:rPr>
          <w:color w:val="auto"/>
        </w:rPr>
        <w:fldChar w:fldCharType="end"/>
      </w:r>
      <w:r w:rsidRPr="0070319C">
        <w:rPr>
          <w:color w:val="auto"/>
        </w:rPr>
        <w:t xml:space="preserve">: </w:t>
      </w:r>
      <w:r w:rsidRPr="0070319C">
        <w:rPr>
          <w:color w:val="auto"/>
          <w:lang w:val="en-US"/>
        </w:rPr>
        <w:t xml:space="preserve"> FAO Food Price Index</w:t>
      </w:r>
      <w:r w:rsidR="00EA4BA0">
        <w:rPr>
          <w:rStyle w:val="Funotenzeichen"/>
          <w:color w:val="auto"/>
          <w:lang w:val="en-US"/>
        </w:rPr>
        <w:footnoteReference w:id="4"/>
      </w:r>
      <w:bookmarkEnd w:id="3"/>
      <w:r w:rsidRPr="0070319C">
        <w:rPr>
          <w:color w:val="auto"/>
          <w:lang w:val="en-US"/>
        </w:rPr>
        <w:t xml:space="preserve"> </w:t>
      </w:r>
    </w:p>
    <w:p w:rsidR="009333AE" w:rsidRPr="00BD1EEC" w:rsidRDefault="00D966B2" w:rsidP="00D610E7">
      <w:r>
        <w:t xml:space="preserve">As pictured in media, </w:t>
      </w:r>
      <w:r w:rsidR="009333AE" w:rsidRPr="00F64311">
        <w:t>food prices are reaching the top in recent history, noticed as the Great Food Crisis of 2011. Among many other important factors in some literature sources biofuels are b</w:t>
      </w:r>
      <w:r w:rsidR="00E923CB">
        <w:t xml:space="preserve">lamed as one factor. It </w:t>
      </w:r>
      <w:r w:rsidR="009333AE" w:rsidRPr="00F64311">
        <w:t>is</w:t>
      </w:r>
      <w:r w:rsidR="00E923CB">
        <w:t xml:space="preserve"> definitely</w:t>
      </w:r>
      <w:r w:rsidR="009333AE" w:rsidRPr="00F64311">
        <w:t xml:space="preserve"> immoral to burn food </w:t>
      </w:r>
      <w:r w:rsidR="00E923CB">
        <w:t>crops</w:t>
      </w:r>
      <w:r w:rsidR="009333AE" w:rsidRPr="00F64311">
        <w:t xml:space="preserve"> to </w:t>
      </w:r>
      <w:r w:rsidR="00E923CB">
        <w:t>gain</w:t>
      </w:r>
      <w:r w:rsidR="009333AE" w:rsidRPr="00F64311">
        <w:t xml:space="preserve"> biofuels instead of feeding hungry children in </w:t>
      </w:r>
      <w:r w:rsidR="00E923CB">
        <w:t>developing</w:t>
      </w:r>
      <w:r w:rsidR="009333AE" w:rsidRPr="00F64311">
        <w:t xml:space="preserve"> countries. In some coun</w:t>
      </w:r>
      <w:r w:rsidR="00BD1EEC">
        <w:t>tries highly profitable biofuel</w:t>
      </w:r>
      <w:r w:rsidR="009333AE" w:rsidRPr="00F64311">
        <w:t xml:space="preserve"> </w:t>
      </w:r>
      <w:r w:rsidR="00BD1EEC">
        <w:t>crops</w:t>
      </w:r>
      <w:r w:rsidR="009333AE" w:rsidRPr="00F64311">
        <w:t xml:space="preserve"> displace the traditional </w:t>
      </w:r>
      <w:r w:rsidR="00BD1EEC">
        <w:t>crops</w:t>
      </w:r>
      <w:r w:rsidR="009333AE" w:rsidRPr="00F64311">
        <w:t xml:space="preserve"> for food production purposes in the arable land area. In 2008 the biodiesel production was about 3 million gallons</w:t>
      </w:r>
      <w:r w:rsidR="00041D56">
        <w:rPr>
          <w:rStyle w:val="Funotenzeichen"/>
        </w:rPr>
        <w:footnoteReference w:id="5"/>
      </w:r>
      <w:r w:rsidR="009333AE" w:rsidRPr="00F64311">
        <w:t xml:space="preserve"> in the European Union, which was 65% of the global biofuel production</w:t>
      </w:r>
      <w:r w:rsidR="009333AE" w:rsidRPr="00BD1EEC">
        <w:rPr>
          <w:vertAlign w:val="superscript"/>
        </w:rPr>
        <w:footnoteReference w:id="6"/>
      </w:r>
      <w:r w:rsidR="009333AE" w:rsidRPr="00F64311">
        <w:t>. In 2009 the US bioethanol production peaked at 10.6 billion gallons</w:t>
      </w:r>
      <w:r w:rsidR="009333AE" w:rsidRPr="00BD1EEC">
        <w:rPr>
          <w:vertAlign w:val="superscript"/>
        </w:rPr>
        <w:footnoteReference w:id="7"/>
      </w:r>
      <w:r w:rsidR="009333AE" w:rsidRPr="00F64311">
        <w:t xml:space="preserve">. Brazil and the US produced over 87% of global biofuels production in 2008. The global biofuels’ production with </w:t>
      </w:r>
      <w:r w:rsidR="0085268E">
        <w:t xml:space="preserve">an </w:t>
      </w:r>
      <w:r w:rsidR="009333AE" w:rsidRPr="00F64311">
        <w:t>annual growth rate of 6</w:t>
      </w:r>
      <w:r w:rsidR="00041D56">
        <w:t>% and 5</w:t>
      </w:r>
      <w:r w:rsidR="009333AE" w:rsidRPr="00F64311">
        <w:t>% for biodiesel and bioethanol production respectively, counts over 4.4 bi</w:t>
      </w:r>
      <w:r w:rsidR="00BD1EEC">
        <w:t xml:space="preserve">llion gallons for biodiesel and </w:t>
      </w:r>
      <w:r w:rsidR="009333AE" w:rsidRPr="00F64311">
        <w:t>19.3 billion gallons</w:t>
      </w:r>
      <w:r w:rsidR="009333AE" w:rsidRPr="004558EF">
        <w:rPr>
          <w:lang w:val="en-US"/>
        </w:rPr>
        <w:t xml:space="preserve"> for bioethanol in 2009</w:t>
      </w:r>
      <w:r w:rsidR="009333AE" w:rsidRPr="004558EF">
        <w:rPr>
          <w:rStyle w:val="Funotenzeichen"/>
          <w:rFonts w:cs="Arial"/>
          <w:lang w:val="en-US"/>
        </w:rPr>
        <w:footnoteReference w:id="8"/>
      </w:r>
      <w:r w:rsidR="009333AE" w:rsidRPr="004558EF">
        <w:rPr>
          <w:lang w:val="en-US"/>
        </w:rPr>
        <w:t xml:space="preserve">. </w:t>
      </w:r>
      <w:r w:rsidR="009333AE" w:rsidRPr="00BD1EEC">
        <w:rPr>
          <w:lang w:val="en-US"/>
        </w:rPr>
        <w:t xml:space="preserve">The world final consumption of liquid biofuels </w:t>
      </w:r>
      <w:r w:rsidR="00BD1EEC">
        <w:rPr>
          <w:lang w:val="en-US"/>
        </w:rPr>
        <w:t>was</w:t>
      </w:r>
      <w:r w:rsidR="009333AE" w:rsidRPr="00BD1EEC">
        <w:rPr>
          <w:lang w:val="en-US"/>
        </w:rPr>
        <w:t xml:space="preserve"> 66.7 </w:t>
      </w:r>
      <w:r w:rsidR="00F64311" w:rsidRPr="00BD1EEC">
        <w:rPr>
          <w:lang w:val="en-US"/>
        </w:rPr>
        <w:t>million</w:t>
      </w:r>
      <w:r w:rsidR="009333AE" w:rsidRPr="00BD1EEC">
        <w:rPr>
          <w:lang w:val="en-US"/>
        </w:rPr>
        <w:t xml:space="preserve"> </w:t>
      </w:r>
      <w:r w:rsidR="000562A0" w:rsidRPr="00BD1EEC">
        <w:rPr>
          <w:lang w:val="en-US"/>
        </w:rPr>
        <w:t>tonne</w:t>
      </w:r>
      <w:r w:rsidR="009333AE" w:rsidRPr="00BD1EEC">
        <w:rPr>
          <w:lang w:val="en-US"/>
        </w:rPr>
        <w:t>s in 2009.</w:t>
      </w:r>
      <w:r w:rsidR="00BD1EEC">
        <w:rPr>
          <w:lang w:val="en-US"/>
        </w:rPr>
        <w:t xml:space="preserve"> </w:t>
      </w:r>
      <w:r w:rsidR="00041D56">
        <w:rPr>
          <w:lang w:val="en-US"/>
        </w:rPr>
        <w:t>In 2007 t</w:t>
      </w:r>
      <w:r w:rsidR="009333AE" w:rsidRPr="004558EF">
        <w:rPr>
          <w:lang w:val="en-US"/>
        </w:rPr>
        <w:t>he a</w:t>
      </w:r>
      <w:r w:rsidR="00041D56">
        <w:rPr>
          <w:lang w:val="en-US"/>
        </w:rPr>
        <w:t xml:space="preserve">rea of energy crops exceeded </w:t>
      </w:r>
      <w:r w:rsidR="009333AE" w:rsidRPr="004558EF">
        <w:rPr>
          <w:lang w:val="en-US"/>
        </w:rPr>
        <w:t>42% in the EU.</w:t>
      </w:r>
      <w:r w:rsidR="009333AE" w:rsidRPr="004558EF">
        <w:rPr>
          <w:rStyle w:val="Funotenzeichen"/>
          <w:rFonts w:cs="Arial"/>
          <w:lang w:val="en-US"/>
        </w:rPr>
        <w:footnoteReference w:id="9"/>
      </w:r>
      <w:r w:rsidR="009333AE" w:rsidRPr="004558EF">
        <w:rPr>
          <w:lang w:val="en-US"/>
        </w:rPr>
        <w:t xml:space="preserve">  From the figures it can be deduced that biofuels as a new phenomenon are very important to the food prices analysis mainly due to their high growth rate. Even in </w:t>
      </w:r>
      <w:r w:rsidR="001B7396">
        <w:rPr>
          <w:lang w:val="en-US"/>
        </w:rPr>
        <w:t>some</w:t>
      </w:r>
      <w:r w:rsidR="00041D56">
        <w:rPr>
          <w:lang w:val="en-US"/>
        </w:rPr>
        <w:t xml:space="preserve"> </w:t>
      </w:r>
      <w:r w:rsidR="009333AE" w:rsidRPr="004558EF">
        <w:rPr>
          <w:lang w:val="en-US"/>
        </w:rPr>
        <w:t>developing countries biofuels are profitab</w:t>
      </w:r>
      <w:r w:rsidR="00BD1EEC">
        <w:rPr>
          <w:lang w:val="en-US"/>
        </w:rPr>
        <w:t>le to produce thanks to subsidy</w:t>
      </w:r>
      <w:r w:rsidR="009333AE" w:rsidRPr="004558EF">
        <w:rPr>
          <w:lang w:val="en-US"/>
        </w:rPr>
        <w:t xml:space="preserve"> policies in many countries. However, we </w:t>
      </w:r>
      <w:r w:rsidR="001B7396">
        <w:rPr>
          <w:lang w:val="en-US"/>
        </w:rPr>
        <w:t>have to</w:t>
      </w:r>
      <w:r w:rsidR="009333AE" w:rsidRPr="004558EF">
        <w:rPr>
          <w:lang w:val="en-US"/>
        </w:rPr>
        <w:t xml:space="preserve"> </w:t>
      </w:r>
      <w:r w:rsidR="001B7396">
        <w:rPr>
          <w:lang w:val="en-US"/>
        </w:rPr>
        <w:t>put</w:t>
      </w:r>
      <w:r w:rsidR="009333AE" w:rsidRPr="004558EF">
        <w:rPr>
          <w:lang w:val="en-US"/>
        </w:rPr>
        <w:t xml:space="preserve"> </w:t>
      </w:r>
      <w:r w:rsidR="001B7396">
        <w:rPr>
          <w:lang w:val="en-US"/>
        </w:rPr>
        <w:t>into q</w:t>
      </w:r>
      <w:r w:rsidR="009333AE" w:rsidRPr="004558EF">
        <w:rPr>
          <w:lang w:val="en-US"/>
        </w:rPr>
        <w:t xml:space="preserve">uestion if the biofuels’ GHG emission reductions are really worthy given privileges by the government, respectively if biofuels are efficient </w:t>
      </w:r>
      <w:r w:rsidR="001B7396">
        <w:rPr>
          <w:lang w:val="en-US"/>
        </w:rPr>
        <w:t>from</w:t>
      </w:r>
      <w:r w:rsidR="009333AE" w:rsidRPr="004558EF">
        <w:rPr>
          <w:lang w:val="en-US"/>
        </w:rPr>
        <w:t xml:space="preserve"> both economic and environmental point of view and if there </w:t>
      </w:r>
      <w:r w:rsidR="001B7396">
        <w:rPr>
          <w:lang w:val="en-US"/>
        </w:rPr>
        <w:t>are</w:t>
      </w:r>
      <w:r w:rsidR="009333AE" w:rsidRPr="004558EF">
        <w:rPr>
          <w:lang w:val="en-US"/>
        </w:rPr>
        <w:t xml:space="preserve"> other hidden consequences of huge 1</w:t>
      </w:r>
      <w:r w:rsidR="009333AE" w:rsidRPr="004558EF">
        <w:rPr>
          <w:vertAlign w:val="superscript"/>
          <w:lang w:val="en-US"/>
        </w:rPr>
        <w:t>st</w:t>
      </w:r>
      <w:r w:rsidR="009333AE" w:rsidRPr="004558EF">
        <w:rPr>
          <w:lang w:val="en-US"/>
        </w:rPr>
        <w:t xml:space="preserve"> generation biofuels’ boom.</w:t>
      </w:r>
    </w:p>
    <w:p w:rsidR="007139D2" w:rsidRDefault="009333AE" w:rsidP="007139D2">
      <w:pPr>
        <w:rPr>
          <w:lang w:val="en-US"/>
        </w:rPr>
      </w:pPr>
      <w:r w:rsidRPr="004558EF">
        <w:rPr>
          <w:lang w:val="en-US"/>
        </w:rPr>
        <w:lastRenderedPageBreak/>
        <w:t>This paper tries to concentrate on the relation between food prices and biofuels’ production in the Czech Republic and Austria, with respect to their natural resource base for energy production.</w:t>
      </w:r>
      <w:r w:rsidR="001B7396">
        <w:rPr>
          <w:lang w:val="en-US"/>
        </w:rPr>
        <w:t xml:space="preserve"> The evaluation of the usage of </w:t>
      </w:r>
      <w:r w:rsidRPr="004558EF">
        <w:rPr>
          <w:lang w:val="en-US"/>
        </w:rPr>
        <w:t>1</w:t>
      </w:r>
      <w:r w:rsidRPr="004558EF">
        <w:rPr>
          <w:vertAlign w:val="superscript"/>
          <w:lang w:val="en-US"/>
        </w:rPr>
        <w:t>st</w:t>
      </w:r>
      <w:r w:rsidRPr="004558EF">
        <w:rPr>
          <w:lang w:val="en-US"/>
        </w:rPr>
        <w:t xml:space="preserve"> and 2</w:t>
      </w:r>
      <w:r w:rsidRPr="004558EF">
        <w:rPr>
          <w:vertAlign w:val="superscript"/>
          <w:lang w:val="en-US"/>
        </w:rPr>
        <w:t>nd</w:t>
      </w:r>
      <w:r w:rsidR="00BD1EEC">
        <w:rPr>
          <w:lang w:val="en-US"/>
        </w:rPr>
        <w:t xml:space="preserve"> generation biofuels </w:t>
      </w:r>
      <w:r w:rsidRPr="004558EF">
        <w:rPr>
          <w:lang w:val="en-US"/>
        </w:rPr>
        <w:t xml:space="preserve">is carried out and the most striking advantages and disadvantages are stressed in the first section. </w:t>
      </w:r>
      <w:r w:rsidR="001B7396">
        <w:rPr>
          <w:lang w:val="en-US"/>
        </w:rPr>
        <w:t>Also</w:t>
      </w:r>
      <w:r w:rsidRPr="004558EF">
        <w:rPr>
          <w:lang w:val="en-US"/>
        </w:rPr>
        <w:t xml:space="preserve"> EU target</w:t>
      </w:r>
      <w:r w:rsidR="001B7396">
        <w:rPr>
          <w:lang w:val="en-US"/>
        </w:rPr>
        <w:t>s</w:t>
      </w:r>
      <w:r w:rsidRPr="004558EF">
        <w:rPr>
          <w:lang w:val="en-US"/>
        </w:rPr>
        <w:t xml:space="preserve"> for biofuels’ content in </w:t>
      </w:r>
      <w:r w:rsidR="001B7396">
        <w:rPr>
          <w:lang w:val="en-US"/>
        </w:rPr>
        <w:t>will be</w:t>
      </w:r>
      <w:r w:rsidRPr="004558EF">
        <w:rPr>
          <w:lang w:val="en-US"/>
        </w:rPr>
        <w:t xml:space="preserve"> </w:t>
      </w:r>
      <w:r w:rsidR="001B7396">
        <w:rPr>
          <w:lang w:val="en-US"/>
        </w:rPr>
        <w:t xml:space="preserve">outlined. </w:t>
      </w:r>
      <w:r w:rsidRPr="004558EF">
        <w:rPr>
          <w:lang w:val="en-US"/>
        </w:rPr>
        <w:t xml:space="preserve">The main task of this paper </w:t>
      </w:r>
      <w:r w:rsidR="001B7396">
        <w:rPr>
          <w:lang w:val="en-US"/>
        </w:rPr>
        <w:t xml:space="preserve">is </w:t>
      </w:r>
      <w:r w:rsidRPr="004558EF">
        <w:rPr>
          <w:lang w:val="en-US"/>
        </w:rPr>
        <w:t xml:space="preserve">to discover the true relationship between </w:t>
      </w:r>
      <w:r w:rsidR="001B7396">
        <w:rPr>
          <w:lang w:val="en-US"/>
        </w:rPr>
        <w:t>food prices and biofuel</w:t>
      </w:r>
      <w:r w:rsidRPr="004558EF">
        <w:rPr>
          <w:lang w:val="en-US"/>
        </w:rPr>
        <w:t xml:space="preserve"> p</w:t>
      </w:r>
      <w:r w:rsidR="001B7396">
        <w:rPr>
          <w:lang w:val="en-US"/>
        </w:rPr>
        <w:t xml:space="preserve">roduction in this two countries. </w:t>
      </w:r>
      <w:r w:rsidRPr="004558EF">
        <w:rPr>
          <w:lang w:val="en-US"/>
        </w:rPr>
        <w:t>The correlation between increased production, respectively increased arable areas d</w:t>
      </w:r>
      <w:r w:rsidR="001B7396">
        <w:rPr>
          <w:lang w:val="en-US"/>
        </w:rPr>
        <w:t xml:space="preserve">evoted to the production of rapeseed and </w:t>
      </w:r>
      <w:r w:rsidRPr="004558EF">
        <w:rPr>
          <w:lang w:val="en-US"/>
        </w:rPr>
        <w:t xml:space="preserve">changes </w:t>
      </w:r>
      <w:r w:rsidR="001B7396">
        <w:rPr>
          <w:lang w:val="en-US"/>
        </w:rPr>
        <w:t>of food prices</w:t>
      </w:r>
      <w:r w:rsidRPr="004558EF">
        <w:rPr>
          <w:lang w:val="en-US"/>
        </w:rPr>
        <w:t xml:space="preserve">, mainly the price of bread, </w:t>
      </w:r>
      <w:r w:rsidR="001B7396">
        <w:rPr>
          <w:lang w:val="en-US"/>
        </w:rPr>
        <w:t>is</w:t>
      </w:r>
      <w:r w:rsidRPr="004558EF">
        <w:rPr>
          <w:lang w:val="en-US"/>
        </w:rPr>
        <w:t xml:space="preserve"> calculated. </w:t>
      </w:r>
      <w:r w:rsidR="00CC0485">
        <w:rPr>
          <w:lang w:val="en-US"/>
        </w:rPr>
        <w:t>Finally</w:t>
      </w:r>
      <w:r w:rsidRPr="004558EF">
        <w:rPr>
          <w:lang w:val="en-US"/>
        </w:rPr>
        <w:t xml:space="preserve"> the </w:t>
      </w:r>
      <w:r w:rsidR="00CC0485">
        <w:rPr>
          <w:lang w:val="en-US"/>
        </w:rPr>
        <w:t>r</w:t>
      </w:r>
      <w:r w:rsidRPr="004558EF">
        <w:rPr>
          <w:lang w:val="en-US"/>
        </w:rPr>
        <w:t>esults</w:t>
      </w:r>
      <w:r w:rsidR="00CC0485">
        <w:rPr>
          <w:lang w:val="en-US"/>
        </w:rPr>
        <w:t xml:space="preserve"> of the price analysis</w:t>
      </w:r>
      <w:r w:rsidRPr="004558EF">
        <w:rPr>
          <w:lang w:val="en-US"/>
        </w:rPr>
        <w:t xml:space="preserve"> and the danger of food crisis are assessed. </w:t>
      </w:r>
    </w:p>
    <w:p w:rsidR="009333AE" w:rsidRPr="007139D2" w:rsidRDefault="009333AE" w:rsidP="00A72B7F">
      <w:pPr>
        <w:pStyle w:val="berschrift2"/>
        <w:rPr>
          <w:lang w:val="en-US"/>
        </w:rPr>
      </w:pPr>
      <w:bookmarkStart w:id="4" w:name="_Toc294469064"/>
      <w:r w:rsidRPr="006E5714">
        <w:rPr>
          <w:lang w:val="en-US"/>
        </w:rPr>
        <w:t xml:space="preserve">Biofuels around the </w:t>
      </w:r>
      <w:r w:rsidRPr="00A72B7F">
        <w:t>world</w:t>
      </w:r>
      <w:bookmarkEnd w:id="4"/>
      <w:r w:rsidRPr="006E5714">
        <w:rPr>
          <w:lang w:val="en-US"/>
        </w:rPr>
        <w:t xml:space="preserve"> </w:t>
      </w:r>
    </w:p>
    <w:p w:rsidR="009333AE" w:rsidRPr="004558EF" w:rsidRDefault="009333AE" w:rsidP="00D610E7">
      <w:pPr>
        <w:rPr>
          <w:lang w:val="en-US"/>
        </w:rPr>
      </w:pPr>
      <w:r w:rsidRPr="004558EF">
        <w:rPr>
          <w:lang w:val="en-US"/>
        </w:rPr>
        <w:t xml:space="preserve">Biofuels as a relatively new source of energy </w:t>
      </w:r>
      <w:r w:rsidR="00945CDD">
        <w:rPr>
          <w:lang w:val="en-US"/>
        </w:rPr>
        <w:t>are</w:t>
      </w:r>
      <w:r w:rsidRPr="004558EF">
        <w:rPr>
          <w:lang w:val="en-US"/>
        </w:rPr>
        <w:t xml:space="preserve"> a quite new phenomenon</w:t>
      </w:r>
      <w:r w:rsidR="00CD61DB">
        <w:rPr>
          <w:lang w:val="en-US"/>
        </w:rPr>
        <w:t xml:space="preserve"> in production</w:t>
      </w:r>
      <w:r w:rsidRPr="004558EF">
        <w:rPr>
          <w:lang w:val="en-US"/>
        </w:rPr>
        <w:t>. Due to t</w:t>
      </w:r>
      <w:r w:rsidR="00F64311">
        <w:rPr>
          <w:lang w:val="en-US"/>
        </w:rPr>
        <w:t>he oil crisis in 1970’s develop</w:t>
      </w:r>
      <w:r w:rsidRPr="004558EF">
        <w:rPr>
          <w:lang w:val="en-US"/>
        </w:rPr>
        <w:t xml:space="preserve">ed countries tried to find some alternative fuels to reduce their </w:t>
      </w:r>
      <w:r w:rsidR="00945CDD">
        <w:rPr>
          <w:lang w:val="en-US"/>
        </w:rPr>
        <w:t>dependence</w:t>
      </w:r>
      <w:r w:rsidRPr="004558EF">
        <w:rPr>
          <w:lang w:val="en-US"/>
        </w:rPr>
        <w:t xml:space="preserve"> on fossil fuels, imported from OPEC countries. It was </w:t>
      </w:r>
      <w:r w:rsidR="008A5C78">
        <w:rPr>
          <w:lang w:val="en-US"/>
        </w:rPr>
        <w:t xml:space="preserve">also </w:t>
      </w:r>
      <w:r w:rsidRPr="004558EF">
        <w:rPr>
          <w:lang w:val="en-US"/>
        </w:rPr>
        <w:t xml:space="preserve">necessary to find some economically and environmentally sustainable fuels because of the </w:t>
      </w:r>
      <w:r w:rsidR="008A5C78">
        <w:rPr>
          <w:lang w:val="en-US"/>
        </w:rPr>
        <w:t>scarcity of fossil oil</w:t>
      </w:r>
      <w:r w:rsidRPr="004558EF">
        <w:rPr>
          <w:lang w:val="en-US"/>
        </w:rPr>
        <w:t xml:space="preserve">. The boom of biofuels nowadays is mainly caused by people’s and government interest in </w:t>
      </w:r>
      <w:r w:rsidR="008A5C78">
        <w:rPr>
          <w:lang w:val="en-US"/>
        </w:rPr>
        <w:t>greenhouse gas</w:t>
      </w:r>
      <w:r w:rsidRPr="004558EF">
        <w:rPr>
          <w:lang w:val="en-US"/>
        </w:rPr>
        <w:t xml:space="preserve"> (GHG)</w:t>
      </w:r>
      <w:r w:rsidR="008A5C78">
        <w:rPr>
          <w:lang w:val="en-US"/>
        </w:rPr>
        <w:t xml:space="preserve"> mitigation</w:t>
      </w:r>
      <w:r w:rsidRPr="004558EF">
        <w:rPr>
          <w:lang w:val="en-US"/>
        </w:rPr>
        <w:t xml:space="preserve"> and in rural development. However, biofuels </w:t>
      </w:r>
      <w:r w:rsidR="008A5C78">
        <w:rPr>
          <w:lang w:val="en-US"/>
        </w:rPr>
        <w:t>only make a</w:t>
      </w:r>
      <w:r w:rsidRPr="004558EF">
        <w:rPr>
          <w:lang w:val="en-US"/>
        </w:rPr>
        <w:t>bout 2% of world fuels consumption in 2008 (UNEP).</w:t>
      </w:r>
    </w:p>
    <w:p w:rsidR="00C00280" w:rsidRDefault="00CC0485" w:rsidP="00C00280">
      <w:pPr>
        <w:rPr>
          <w:lang w:val="en-US"/>
        </w:rPr>
      </w:pPr>
      <w:r>
        <w:rPr>
          <w:lang w:val="en-US"/>
        </w:rPr>
        <w:t xml:space="preserve">Nigam and </w:t>
      </w:r>
      <w:r w:rsidR="009333AE" w:rsidRPr="004558EF">
        <w:rPr>
          <w:lang w:val="en-US"/>
        </w:rPr>
        <w:t xml:space="preserve">Singh (2011, p. 54) summarize the most common </w:t>
      </w:r>
      <w:r>
        <w:rPr>
          <w:lang w:val="en-US"/>
        </w:rPr>
        <w:t>categories</w:t>
      </w:r>
      <w:r w:rsidR="009333AE" w:rsidRPr="004558EF">
        <w:rPr>
          <w:lang w:val="en-US"/>
        </w:rPr>
        <w:t xml:space="preserve"> </w:t>
      </w:r>
      <w:r w:rsidR="009333AE" w:rsidRPr="00A64AE9">
        <w:rPr>
          <w:lang w:val="en-US"/>
        </w:rPr>
        <w:t>of biofuels</w:t>
      </w:r>
      <w:r w:rsidR="00CD61DB" w:rsidRPr="00A64AE9">
        <w:rPr>
          <w:lang w:val="en-US"/>
        </w:rPr>
        <w:t>:</w:t>
      </w:r>
      <w:r w:rsidR="009333AE" w:rsidRPr="00A64AE9">
        <w:rPr>
          <w:lang w:val="en-US"/>
        </w:rPr>
        <w:t xml:space="preserve"> </w:t>
      </w:r>
      <w:r w:rsidR="00CD61DB" w:rsidRPr="00A64AE9">
        <w:rPr>
          <w:lang w:val="en-US"/>
        </w:rPr>
        <w:t>P</w:t>
      </w:r>
      <w:r w:rsidR="009333AE" w:rsidRPr="00A64AE9">
        <w:rPr>
          <w:lang w:val="en-US"/>
        </w:rPr>
        <w:t>rimary</w:t>
      </w:r>
      <w:r w:rsidR="00C00280" w:rsidRPr="00A64AE9">
        <w:rPr>
          <w:lang w:val="en-US"/>
        </w:rPr>
        <w:t xml:space="preserve"> biofuels are</w:t>
      </w:r>
      <w:r w:rsidR="009333AE" w:rsidRPr="00A64AE9">
        <w:rPr>
          <w:lang w:val="en-US"/>
        </w:rPr>
        <w:t>, i.e. firewood, wood chips, pellets, animal waste, forest and crop residues, landfill gas, etc., and secondary, i.e</w:t>
      </w:r>
      <w:r w:rsidR="00CD61DB" w:rsidRPr="00A64AE9">
        <w:rPr>
          <w:lang w:val="en-US"/>
        </w:rPr>
        <w:t xml:space="preserve">. </w:t>
      </w:r>
      <w:r>
        <w:rPr>
          <w:lang w:val="en-US"/>
        </w:rPr>
        <w:t>are</w:t>
      </w:r>
      <w:r w:rsidR="00A64AE9">
        <w:rPr>
          <w:lang w:val="en-US"/>
        </w:rPr>
        <w:t xml:space="preserve"> </w:t>
      </w:r>
      <w:r w:rsidR="00CD61DB" w:rsidRPr="00A64AE9">
        <w:rPr>
          <w:lang w:val="en-US"/>
        </w:rPr>
        <w:t>biofuels themselves</w:t>
      </w:r>
      <w:r w:rsidR="008A5C78" w:rsidRPr="00A64AE9">
        <w:rPr>
          <w:lang w:val="en-US"/>
        </w:rPr>
        <w:t xml:space="preserve">. </w:t>
      </w:r>
      <w:r w:rsidR="00CD61DB" w:rsidRPr="00A64AE9">
        <w:rPr>
          <w:lang w:val="en-US"/>
        </w:rPr>
        <w:t>S</w:t>
      </w:r>
      <w:r w:rsidR="009333AE" w:rsidRPr="00A64AE9">
        <w:rPr>
          <w:lang w:val="en-US"/>
        </w:rPr>
        <w:t xml:space="preserve">econdary biofuels can be </w:t>
      </w:r>
      <w:r w:rsidR="008A5C78" w:rsidRPr="00A64AE9">
        <w:rPr>
          <w:lang w:val="en-US"/>
        </w:rPr>
        <w:t>divided in 1</w:t>
      </w:r>
      <w:r w:rsidR="009333AE" w:rsidRPr="00A64AE9">
        <w:rPr>
          <w:vertAlign w:val="superscript"/>
          <w:lang w:val="en-US"/>
        </w:rPr>
        <w:t>st</w:t>
      </w:r>
      <w:r w:rsidR="009333AE" w:rsidRPr="00A64AE9">
        <w:rPr>
          <w:lang w:val="en-US"/>
        </w:rPr>
        <w:t>, 2</w:t>
      </w:r>
      <w:r w:rsidR="009333AE" w:rsidRPr="00A64AE9">
        <w:rPr>
          <w:vertAlign w:val="superscript"/>
          <w:lang w:val="en-US"/>
        </w:rPr>
        <w:t>nd</w:t>
      </w:r>
      <w:r w:rsidR="009333AE" w:rsidRPr="00A64AE9">
        <w:rPr>
          <w:lang w:val="en-US"/>
        </w:rPr>
        <w:t xml:space="preserve"> and 3</w:t>
      </w:r>
      <w:r w:rsidR="009333AE" w:rsidRPr="00A64AE9">
        <w:rPr>
          <w:vertAlign w:val="superscript"/>
          <w:lang w:val="en-US"/>
        </w:rPr>
        <w:t>rd</w:t>
      </w:r>
      <w:r w:rsidR="009333AE" w:rsidRPr="00A64AE9">
        <w:rPr>
          <w:lang w:val="en-US"/>
        </w:rPr>
        <w:t xml:space="preserve"> generation</w:t>
      </w:r>
      <w:r w:rsidR="009333AE" w:rsidRPr="004558EF">
        <w:rPr>
          <w:lang w:val="en-US"/>
        </w:rPr>
        <w:t xml:space="preserve"> of biofuels. </w:t>
      </w:r>
      <w:r w:rsidR="00CD61DB">
        <w:rPr>
          <w:lang w:val="en-US"/>
        </w:rPr>
        <w:t>The 1</w:t>
      </w:r>
      <w:r w:rsidR="00CD61DB" w:rsidRPr="00CD61DB">
        <w:rPr>
          <w:vertAlign w:val="superscript"/>
          <w:lang w:val="en-US"/>
        </w:rPr>
        <w:t>st</w:t>
      </w:r>
      <w:r w:rsidR="00CD61DB">
        <w:rPr>
          <w:lang w:val="en-US"/>
        </w:rPr>
        <w:t xml:space="preserve"> and 2</w:t>
      </w:r>
      <w:r w:rsidR="00CD61DB" w:rsidRPr="00CD61DB">
        <w:rPr>
          <w:vertAlign w:val="superscript"/>
          <w:lang w:val="en-US"/>
        </w:rPr>
        <w:t>nd</w:t>
      </w:r>
      <w:r w:rsidR="00CD61DB">
        <w:rPr>
          <w:lang w:val="en-US"/>
        </w:rPr>
        <w:t xml:space="preserve"> generation will be explained in the following sections. </w:t>
      </w:r>
      <w:r w:rsidR="009333AE" w:rsidRPr="004558EF">
        <w:rPr>
          <w:lang w:val="en-US"/>
        </w:rPr>
        <w:t>The 3</w:t>
      </w:r>
      <w:r w:rsidR="009333AE" w:rsidRPr="004558EF">
        <w:rPr>
          <w:vertAlign w:val="superscript"/>
          <w:lang w:val="en-US"/>
        </w:rPr>
        <w:t>rd</w:t>
      </w:r>
      <w:r w:rsidR="009333AE" w:rsidRPr="004558EF">
        <w:rPr>
          <w:lang w:val="en-US"/>
        </w:rPr>
        <w:t xml:space="preserve"> generation contains those biofuels produced from algae and sea weeds, i.e. biodiesel </w:t>
      </w:r>
      <w:r w:rsidR="00C00280">
        <w:rPr>
          <w:lang w:val="en-US"/>
        </w:rPr>
        <w:t xml:space="preserve">and bioethanol from algae, </w:t>
      </w:r>
      <w:r w:rsidR="009333AE" w:rsidRPr="004558EF">
        <w:rPr>
          <w:lang w:val="en-US"/>
        </w:rPr>
        <w:t>see weeds and hydrogen from green algae and microbes.</w:t>
      </w:r>
      <w:r w:rsidR="009C7100">
        <w:rPr>
          <w:lang w:val="en-US"/>
        </w:rPr>
        <w:t xml:space="preserve"> </w:t>
      </w:r>
      <w:r w:rsidR="00CD61DB">
        <w:rPr>
          <w:lang w:val="en-US"/>
        </w:rPr>
        <w:t>World’s main biofuel production is based on bioethanol</w:t>
      </w:r>
      <w:r w:rsidR="009333AE" w:rsidRPr="004558EF">
        <w:rPr>
          <w:lang w:val="en-US"/>
        </w:rPr>
        <w:t xml:space="preserve">. </w:t>
      </w:r>
      <w:r w:rsidR="00CD61DB">
        <w:rPr>
          <w:lang w:val="en-US"/>
        </w:rPr>
        <w:t>In the EU-27 a</w:t>
      </w:r>
      <w:r w:rsidR="009333AE" w:rsidRPr="004558EF">
        <w:rPr>
          <w:lang w:val="en-US"/>
        </w:rPr>
        <w:t xml:space="preserve">lso </w:t>
      </w:r>
      <w:r w:rsidR="00C00280">
        <w:rPr>
          <w:lang w:val="en-US"/>
        </w:rPr>
        <w:t>the</w:t>
      </w:r>
      <w:r w:rsidR="009333AE" w:rsidRPr="004558EF">
        <w:rPr>
          <w:lang w:val="en-US"/>
        </w:rPr>
        <w:t xml:space="preserve"> increasing importance of biodiesel </w:t>
      </w:r>
      <w:r w:rsidR="00CD61DB">
        <w:rPr>
          <w:lang w:val="en-US"/>
        </w:rPr>
        <w:t>can be observed</w:t>
      </w:r>
      <w:r w:rsidR="009333AE" w:rsidRPr="004558EF">
        <w:rPr>
          <w:lang w:val="en-US"/>
        </w:rPr>
        <w:t>. The following graph describes</w:t>
      </w:r>
      <w:r w:rsidR="00CD61DB">
        <w:rPr>
          <w:lang w:val="en-US"/>
        </w:rPr>
        <w:t xml:space="preserve"> the</w:t>
      </w:r>
      <w:r w:rsidR="009333AE" w:rsidRPr="004558EF">
        <w:rPr>
          <w:lang w:val="en-US"/>
        </w:rPr>
        <w:t xml:space="preserve"> current s</w:t>
      </w:r>
      <w:r w:rsidR="00C00280">
        <w:rPr>
          <w:lang w:val="en-US"/>
        </w:rPr>
        <w:t>ituation and recent development:</w:t>
      </w:r>
    </w:p>
    <w:p w:rsidR="009C7100" w:rsidRDefault="009C7100" w:rsidP="00C00280">
      <w:pPr>
        <w:rPr>
          <w:lang w:val="en-US"/>
        </w:rPr>
      </w:pPr>
    </w:p>
    <w:p w:rsidR="005848FD" w:rsidRDefault="00C00280" w:rsidP="00A32658">
      <w:pPr>
        <w:jc w:val="center"/>
      </w:pPr>
      <w:r>
        <w:rPr>
          <w:noProof/>
          <w:lang w:val="de-AT" w:eastAsia="de-AT"/>
        </w:rPr>
        <w:drawing>
          <wp:inline distT="0" distB="0" distL="0" distR="0">
            <wp:extent cx="4164481" cy="2845853"/>
            <wp:effectExtent l="0" t="0" r="0" b="0"/>
            <wp:docPr id="2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4168080" cy="2848312"/>
                    </a:xfrm>
                    <a:prstGeom prst="rect">
                      <a:avLst/>
                    </a:prstGeom>
                    <a:noFill/>
                    <a:ln w="9525">
                      <a:noFill/>
                      <a:miter lim="800000"/>
                      <a:headEnd/>
                      <a:tailEnd/>
                    </a:ln>
                  </pic:spPr>
                </pic:pic>
              </a:graphicData>
            </a:graphic>
          </wp:inline>
        </w:drawing>
      </w:r>
    </w:p>
    <w:p w:rsidR="005848FD" w:rsidRPr="00EA4BA0" w:rsidRDefault="005848FD" w:rsidP="005848FD">
      <w:pPr>
        <w:pStyle w:val="Bildbeschriftung"/>
        <w:rPr>
          <w:sz w:val="18"/>
          <w:szCs w:val="18"/>
        </w:rPr>
      </w:pPr>
      <w:bookmarkStart w:id="5" w:name="_Toc294469004"/>
      <w:r w:rsidRPr="00EA4BA0">
        <w:rPr>
          <w:sz w:val="18"/>
          <w:szCs w:val="18"/>
        </w:rPr>
        <w:lastRenderedPageBreak/>
        <w:t xml:space="preserve">Figure </w:t>
      </w:r>
      <w:r w:rsidR="002A0101" w:rsidRPr="00EA4BA0">
        <w:rPr>
          <w:sz w:val="18"/>
          <w:szCs w:val="18"/>
        </w:rPr>
        <w:fldChar w:fldCharType="begin"/>
      </w:r>
      <w:r w:rsidR="008A5C72" w:rsidRPr="00EA4BA0">
        <w:rPr>
          <w:sz w:val="18"/>
          <w:szCs w:val="18"/>
        </w:rPr>
        <w:instrText xml:space="preserve"> SEQ Figure \* ARABIC </w:instrText>
      </w:r>
      <w:r w:rsidR="002A0101" w:rsidRPr="00EA4BA0">
        <w:rPr>
          <w:sz w:val="18"/>
          <w:szCs w:val="18"/>
        </w:rPr>
        <w:fldChar w:fldCharType="separate"/>
      </w:r>
      <w:r w:rsidR="00904569">
        <w:rPr>
          <w:noProof/>
          <w:sz w:val="18"/>
          <w:szCs w:val="18"/>
        </w:rPr>
        <w:t>2</w:t>
      </w:r>
      <w:r w:rsidR="002A0101" w:rsidRPr="00EA4BA0">
        <w:rPr>
          <w:sz w:val="18"/>
          <w:szCs w:val="18"/>
        </w:rPr>
        <w:fldChar w:fldCharType="end"/>
      </w:r>
      <w:r w:rsidR="007242CE" w:rsidRPr="00EA4BA0">
        <w:rPr>
          <w:sz w:val="18"/>
          <w:szCs w:val="18"/>
        </w:rPr>
        <w:t>:</w:t>
      </w:r>
      <w:r w:rsidRPr="00EA4BA0">
        <w:rPr>
          <w:sz w:val="18"/>
          <w:szCs w:val="18"/>
        </w:rPr>
        <w:t xml:space="preserve"> World biodiesel and ethanol production from 1975 to 2010</w:t>
      </w:r>
      <w:r w:rsidRPr="00EA4BA0">
        <w:rPr>
          <w:rStyle w:val="Funotenzeichen"/>
          <w:sz w:val="18"/>
          <w:szCs w:val="18"/>
        </w:rPr>
        <w:footnoteReference w:id="10"/>
      </w:r>
      <w:bookmarkEnd w:id="5"/>
    </w:p>
    <w:p w:rsidR="009333AE" w:rsidRPr="007139D2" w:rsidRDefault="009333AE" w:rsidP="007139D2">
      <w:pPr>
        <w:pStyle w:val="berschrift2"/>
        <w:rPr>
          <w:lang w:val="en-US"/>
        </w:rPr>
      </w:pPr>
      <w:bookmarkStart w:id="6" w:name="_Toc294469065"/>
      <w:r w:rsidRPr="007139D2">
        <w:rPr>
          <w:lang w:val="en-US"/>
        </w:rPr>
        <w:t>Advantages and disadvantages of the 1</w:t>
      </w:r>
      <w:r w:rsidRPr="007139D2">
        <w:rPr>
          <w:vertAlign w:val="superscript"/>
          <w:lang w:val="en-US"/>
        </w:rPr>
        <w:t>st</w:t>
      </w:r>
      <w:r w:rsidR="007139D2" w:rsidRPr="007139D2">
        <w:rPr>
          <w:lang w:val="en-US"/>
        </w:rPr>
        <w:t xml:space="preserve"> generation</w:t>
      </w:r>
      <w:bookmarkEnd w:id="6"/>
    </w:p>
    <w:p w:rsidR="00E923CB" w:rsidRDefault="009333AE" w:rsidP="00D610E7">
      <w:pPr>
        <w:rPr>
          <w:lang w:val="en-US"/>
        </w:rPr>
      </w:pPr>
      <w:r w:rsidRPr="004558EF">
        <w:rPr>
          <w:lang w:val="en-US"/>
        </w:rPr>
        <w:t>The 1</w:t>
      </w:r>
      <w:r w:rsidRPr="004558EF">
        <w:rPr>
          <w:vertAlign w:val="superscript"/>
          <w:lang w:val="en-US"/>
        </w:rPr>
        <w:t>st</w:t>
      </w:r>
      <w:r w:rsidRPr="004558EF">
        <w:rPr>
          <w:lang w:val="en-US"/>
        </w:rPr>
        <w:t xml:space="preserve"> generation of biofuels is defined as those biofuels that are produced from plants that c</w:t>
      </w:r>
      <w:r w:rsidR="00E923CB">
        <w:rPr>
          <w:lang w:val="en-US"/>
        </w:rPr>
        <w:t xml:space="preserve">ontain sugar, starch or oil, such as </w:t>
      </w:r>
      <w:r w:rsidRPr="004558EF">
        <w:rPr>
          <w:lang w:val="en-US"/>
        </w:rPr>
        <w:t>corn, wheat, barley, sugar cane, rape seed, soybean, sunflower or from animal fats, thus competing</w:t>
      </w:r>
      <w:r w:rsidR="0076494E">
        <w:rPr>
          <w:lang w:val="en-US"/>
        </w:rPr>
        <w:t xml:space="preserve"> with </w:t>
      </w:r>
      <w:r w:rsidRPr="004558EF">
        <w:rPr>
          <w:lang w:val="en-US"/>
        </w:rPr>
        <w:t>agricultural</w:t>
      </w:r>
      <w:r w:rsidR="00E923CB">
        <w:rPr>
          <w:lang w:val="en-US"/>
        </w:rPr>
        <w:t xml:space="preserve"> food production. They nowadays </w:t>
      </w:r>
      <w:r w:rsidRPr="004558EF">
        <w:rPr>
          <w:lang w:val="en-US"/>
        </w:rPr>
        <w:t xml:space="preserve">dominate the market </w:t>
      </w:r>
      <w:r w:rsidR="0076494E">
        <w:rPr>
          <w:lang w:val="en-US"/>
        </w:rPr>
        <w:t>of</w:t>
      </w:r>
      <w:r w:rsidRPr="004558EF">
        <w:rPr>
          <w:lang w:val="en-US"/>
        </w:rPr>
        <w:t xml:space="preserve"> biofuels. They include ethanol produced from sugar cane, corn or starch, biodiesel (or fatty acid methyl esters, FAME) from oilseeds, soybean and rapeseed, or PPO (pure plant oil). We distinguish different types of </w:t>
      </w:r>
      <w:r w:rsidR="00E923CB">
        <w:rPr>
          <w:lang w:val="en-US"/>
        </w:rPr>
        <w:t>biofuels: e.g. B5 – means 5% share of biofuels</w:t>
      </w:r>
      <w:r w:rsidRPr="004558EF">
        <w:rPr>
          <w:lang w:val="en-US"/>
        </w:rPr>
        <w:t xml:space="preserve"> and the rest is fossil diesel, etc. The same </w:t>
      </w:r>
      <w:r w:rsidR="00E923CB">
        <w:rPr>
          <w:lang w:val="en-US"/>
        </w:rPr>
        <w:t>applies to</w:t>
      </w:r>
      <w:r w:rsidRPr="004558EF">
        <w:rPr>
          <w:lang w:val="en-US"/>
        </w:rPr>
        <w:t xml:space="preserve"> ethanol (E5, E20…). </w:t>
      </w:r>
      <w:r w:rsidR="00534179">
        <w:rPr>
          <w:lang w:val="en-US"/>
        </w:rPr>
        <w:t xml:space="preserve">Around </w:t>
      </w:r>
      <w:r w:rsidR="00534179" w:rsidRPr="00E923CB">
        <w:rPr>
          <w:lang w:val="en-US"/>
        </w:rPr>
        <w:t>the world the production of bioethanol is higher than</w:t>
      </w:r>
      <w:r w:rsidRPr="00E923CB">
        <w:rPr>
          <w:lang w:val="en-US"/>
        </w:rPr>
        <w:t xml:space="preserve"> biodiesel (21 billion gallons vs. 5 billion </w:t>
      </w:r>
      <w:r w:rsidR="0076494E">
        <w:rPr>
          <w:lang w:val="en-US"/>
        </w:rPr>
        <w:t>gallons). However, in the EU m</w:t>
      </w:r>
      <w:r w:rsidRPr="00E923CB">
        <w:rPr>
          <w:lang w:val="en-US"/>
        </w:rPr>
        <w:t>ainly biodiesel</w:t>
      </w:r>
      <w:r w:rsidR="0076494E">
        <w:rPr>
          <w:lang w:val="en-US"/>
        </w:rPr>
        <w:t xml:space="preserve"> is produced</w:t>
      </w:r>
      <w:r w:rsidRPr="00E923CB">
        <w:rPr>
          <w:lang w:val="en-US"/>
        </w:rPr>
        <w:t xml:space="preserve">. </w:t>
      </w:r>
      <w:r w:rsidRPr="00E923CB">
        <w:t>Timilsina et Shrestha</w:t>
      </w:r>
      <w:r w:rsidR="00A71BEF">
        <w:rPr>
          <w:lang w:val="en-US"/>
        </w:rPr>
        <w:t xml:space="preserve"> (2010) summarize</w:t>
      </w:r>
      <w:r w:rsidRPr="00E923CB">
        <w:rPr>
          <w:lang w:val="en-US"/>
        </w:rPr>
        <w:t xml:space="preserve"> the top bioethanol and top biodiesel countries with their major feedstock </w:t>
      </w:r>
      <w:r w:rsidR="00A71BEF">
        <w:rPr>
          <w:lang w:val="en-US"/>
        </w:rPr>
        <w:t>used for the biofuel production:</w:t>
      </w:r>
      <w:r w:rsidRPr="00E923CB">
        <w:rPr>
          <w:lang w:val="en-US"/>
        </w:rPr>
        <w:t xml:space="preserve"> For ethanol production the leading country </w:t>
      </w:r>
      <w:r w:rsidR="00E923CB">
        <w:rPr>
          <w:lang w:val="en-US"/>
        </w:rPr>
        <w:t>is USA with corn</w:t>
      </w:r>
      <w:r w:rsidRPr="00E923CB">
        <w:rPr>
          <w:lang w:val="en-US"/>
        </w:rPr>
        <w:t xml:space="preserve">, then Brazil with sugarcane as a major feedstock and </w:t>
      </w:r>
      <w:r w:rsidR="00E52A5C" w:rsidRPr="00E923CB">
        <w:rPr>
          <w:lang w:val="en-US"/>
        </w:rPr>
        <w:t xml:space="preserve">far </w:t>
      </w:r>
      <w:r w:rsidR="00E923CB">
        <w:rPr>
          <w:lang w:val="en-US"/>
        </w:rPr>
        <w:t xml:space="preserve">behind </w:t>
      </w:r>
      <w:r w:rsidR="00A71BEF">
        <w:rPr>
          <w:lang w:val="en-US"/>
        </w:rPr>
        <w:t>these two,</w:t>
      </w:r>
      <w:r w:rsidR="00E52A5C" w:rsidRPr="00E923CB">
        <w:rPr>
          <w:lang w:val="en-US"/>
        </w:rPr>
        <w:t xml:space="preserve"> </w:t>
      </w:r>
      <w:r w:rsidRPr="00E923CB">
        <w:rPr>
          <w:lang w:val="en-US"/>
        </w:rPr>
        <w:t>China an</w:t>
      </w:r>
      <w:r w:rsidR="00E52A5C" w:rsidRPr="00E923CB">
        <w:rPr>
          <w:lang w:val="en-US"/>
        </w:rPr>
        <w:t xml:space="preserve">d the EU (wheat – 70%). </w:t>
      </w:r>
      <w:r w:rsidR="00A71BEF">
        <w:rPr>
          <w:lang w:val="en-US"/>
        </w:rPr>
        <w:t>The number one in</w:t>
      </w:r>
      <w:r w:rsidR="00E52A5C" w:rsidRPr="00E923CB">
        <w:rPr>
          <w:lang w:val="en-US"/>
        </w:rPr>
        <w:t xml:space="preserve"> bio</w:t>
      </w:r>
      <w:r w:rsidRPr="00E923CB">
        <w:rPr>
          <w:lang w:val="en-US"/>
        </w:rPr>
        <w:t>diesel production is the EU, namely France and Germany</w:t>
      </w:r>
      <w:r w:rsidRPr="004558EF">
        <w:rPr>
          <w:lang w:val="en-US"/>
        </w:rPr>
        <w:t>, with rapeseed as major feedstock. After them</w:t>
      </w:r>
      <w:r w:rsidR="00E923CB">
        <w:rPr>
          <w:lang w:val="en-US"/>
        </w:rPr>
        <w:t xml:space="preserve"> on the second place is</w:t>
      </w:r>
      <w:r w:rsidRPr="004558EF">
        <w:rPr>
          <w:lang w:val="en-US"/>
        </w:rPr>
        <w:t xml:space="preserve"> the USA with soybean as major feedstoc</w:t>
      </w:r>
      <w:r w:rsidR="00E923CB">
        <w:rPr>
          <w:lang w:val="en-US"/>
        </w:rPr>
        <w:t xml:space="preserve">k. </w:t>
      </w:r>
    </w:p>
    <w:p w:rsidR="009333AE" w:rsidRPr="004558EF" w:rsidRDefault="009333AE" w:rsidP="00D610E7">
      <w:pPr>
        <w:rPr>
          <w:lang w:val="en-US"/>
        </w:rPr>
      </w:pPr>
      <w:r w:rsidRPr="004558EF">
        <w:rPr>
          <w:lang w:val="en-US"/>
        </w:rPr>
        <w:t xml:space="preserve">The advantages of the </w:t>
      </w:r>
      <w:r w:rsidR="00A71BEF">
        <w:rPr>
          <w:lang w:val="en-US"/>
        </w:rPr>
        <w:t>1</w:t>
      </w:r>
      <w:r w:rsidR="00A71BEF" w:rsidRPr="00A71BEF">
        <w:rPr>
          <w:vertAlign w:val="superscript"/>
          <w:lang w:val="en-US"/>
        </w:rPr>
        <w:t>st</w:t>
      </w:r>
      <w:r w:rsidRPr="004558EF">
        <w:rPr>
          <w:lang w:val="en-US"/>
        </w:rPr>
        <w:t xml:space="preserve"> generation biofuels are overwhelmed by its disadvantages. However, among environmental positive impacts the biofuels still </w:t>
      </w:r>
      <w:r w:rsidR="002B19F2">
        <w:rPr>
          <w:lang w:val="en-US"/>
        </w:rPr>
        <w:t>have potential to mitigate</w:t>
      </w:r>
      <w:r w:rsidRPr="004558EF">
        <w:rPr>
          <w:lang w:val="en-US"/>
        </w:rPr>
        <w:t xml:space="preserve"> GHG and other </w:t>
      </w:r>
      <w:r w:rsidR="002B19F2">
        <w:rPr>
          <w:lang w:val="en-US"/>
        </w:rPr>
        <w:t>air pollutants</w:t>
      </w:r>
      <w:r w:rsidRPr="004558EF">
        <w:rPr>
          <w:lang w:val="en-US"/>
        </w:rPr>
        <w:t>. Demirbas (2009) states the diffe</w:t>
      </w:r>
      <w:r w:rsidR="002B19F2">
        <w:rPr>
          <w:lang w:val="en-US"/>
        </w:rPr>
        <w:t>rences in emissions from 20</w:t>
      </w:r>
      <w:r w:rsidRPr="004558EF">
        <w:rPr>
          <w:lang w:val="en-US"/>
        </w:rPr>
        <w:t>%</w:t>
      </w:r>
      <w:r w:rsidR="002B19F2">
        <w:rPr>
          <w:lang w:val="en-US"/>
        </w:rPr>
        <w:t>vol.</w:t>
      </w:r>
      <w:r w:rsidRPr="004558EF">
        <w:rPr>
          <w:lang w:val="en-US"/>
        </w:rPr>
        <w:t xml:space="preserve"> soybean-based biodiesel added to petrodiesel (B20) and petrodiesel. Biodiesel </w:t>
      </w:r>
      <w:r w:rsidR="00A71BEF">
        <w:rPr>
          <w:lang w:val="en-US"/>
        </w:rPr>
        <w:t>is able to reduce</w:t>
      </w:r>
      <w:r w:rsidRPr="004558EF">
        <w:rPr>
          <w:lang w:val="en-US"/>
        </w:rPr>
        <w:t xml:space="preserve"> </w:t>
      </w:r>
      <w:r w:rsidR="002B19F2">
        <w:rPr>
          <w:lang w:val="en-US"/>
        </w:rPr>
        <w:t>particular matter, hydrocarbons</w:t>
      </w:r>
      <w:r w:rsidRPr="004558EF">
        <w:rPr>
          <w:lang w:val="en-US"/>
        </w:rPr>
        <w:t xml:space="preserve"> and carbon monoxide, but increases nitrogen oxides (NOx) in unmodified diesel engine</w:t>
      </w:r>
      <w:r w:rsidR="002B19F2">
        <w:rPr>
          <w:lang w:val="en-US"/>
        </w:rPr>
        <w:t>s</w:t>
      </w:r>
      <w:r w:rsidR="00A71BEF">
        <w:rPr>
          <w:lang w:val="en-US"/>
        </w:rPr>
        <w:t>. Emission reductions expressed in percentages:</w:t>
      </w:r>
      <w:r w:rsidR="00E52A5C">
        <w:rPr>
          <w:lang w:val="en-US"/>
        </w:rPr>
        <w:t xml:space="preserve"> NO</w:t>
      </w:r>
      <w:r w:rsidR="00E52A5C">
        <w:rPr>
          <w:vertAlign w:val="subscript"/>
          <w:lang w:val="en-US"/>
        </w:rPr>
        <w:t>x</w:t>
      </w:r>
      <w:r w:rsidRPr="004558EF">
        <w:rPr>
          <w:lang w:val="en-US"/>
        </w:rPr>
        <w:t xml:space="preserve"> +2%, particular</w:t>
      </w:r>
      <w:r w:rsidR="002B19F2">
        <w:rPr>
          <w:lang w:val="en-US"/>
        </w:rPr>
        <w:t xml:space="preserve"> matter</w:t>
      </w:r>
      <w:r w:rsidRPr="004558EF">
        <w:rPr>
          <w:lang w:val="en-US"/>
        </w:rPr>
        <w:t xml:space="preserve"> -10.1%, </w:t>
      </w:r>
      <w:r w:rsidR="002B19F2">
        <w:rPr>
          <w:lang w:val="en-US"/>
        </w:rPr>
        <w:t>hydrocarbons</w:t>
      </w:r>
      <w:r w:rsidRPr="004558EF">
        <w:rPr>
          <w:lang w:val="en-US"/>
        </w:rPr>
        <w:t xml:space="preserve"> -21.1% and </w:t>
      </w:r>
      <w:r w:rsidR="002B19F2">
        <w:rPr>
          <w:lang w:val="en-US"/>
        </w:rPr>
        <w:t>carbon monoxide</w:t>
      </w:r>
      <w:r w:rsidRPr="004558EF">
        <w:rPr>
          <w:lang w:val="en-US"/>
        </w:rPr>
        <w:t xml:space="preserve"> -11.0% in 2007. According to EPA, percentage change in emissions for pure biodiesel (B100) co</w:t>
      </w:r>
      <w:r w:rsidR="002B19F2">
        <w:rPr>
          <w:lang w:val="en-US"/>
        </w:rPr>
        <w:t>m</w:t>
      </w:r>
      <w:r w:rsidRPr="004558EF">
        <w:rPr>
          <w:lang w:val="en-US"/>
        </w:rPr>
        <w:t>pare</w:t>
      </w:r>
      <w:r w:rsidR="00A71BEF">
        <w:rPr>
          <w:lang w:val="en-US"/>
        </w:rPr>
        <w:t>d to conventional petrodiesel in total: for h</w:t>
      </w:r>
      <w:r w:rsidRPr="004558EF">
        <w:rPr>
          <w:lang w:val="en-US"/>
        </w:rPr>
        <w:t xml:space="preserve">ydrocarbons (HC) -67%, for CO -48%, </w:t>
      </w:r>
      <w:r w:rsidR="002B19F2">
        <w:rPr>
          <w:lang w:val="en-US"/>
        </w:rPr>
        <w:t>PM -47%, NO</w:t>
      </w:r>
      <w:r w:rsidR="002B19F2">
        <w:rPr>
          <w:vertAlign w:val="subscript"/>
          <w:lang w:val="en-US"/>
        </w:rPr>
        <w:t>x</w:t>
      </w:r>
      <w:r w:rsidRPr="004558EF">
        <w:rPr>
          <w:lang w:val="en-US"/>
        </w:rPr>
        <w:t xml:space="preserve"> +10%, sulfates -100% and for polycyclic aromatic hydrocarbons -80%. Next figure shows the GHG emissions and primary energy savings of biofuels completed by </w:t>
      </w:r>
      <w:r w:rsidRPr="004558EF">
        <w:rPr>
          <w:bCs/>
          <w:lang w:val="en-US"/>
        </w:rPr>
        <w:t>Reinhardt and von Falkenstein (2010).</w:t>
      </w:r>
    </w:p>
    <w:p w:rsidR="005848FD" w:rsidRDefault="00E67354" w:rsidP="005848FD">
      <w:pPr>
        <w:jc w:val="center"/>
      </w:pPr>
      <w:r w:rsidRPr="004558EF">
        <w:rPr>
          <w:noProof/>
          <w:sz w:val="18"/>
          <w:szCs w:val="18"/>
          <w:lang w:val="de-AT" w:eastAsia="de-AT"/>
        </w:rPr>
        <w:lastRenderedPageBreak/>
        <w:drawing>
          <wp:inline distT="0" distB="0" distL="0" distR="0">
            <wp:extent cx="3771900" cy="4028105"/>
            <wp:effectExtent l="19050" t="0" r="0" b="0"/>
            <wp:docPr id="4" name="Bild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18"/>
                    <a:srcRect/>
                    <a:stretch>
                      <a:fillRect/>
                    </a:stretch>
                  </pic:blipFill>
                  <pic:spPr bwMode="auto">
                    <a:xfrm>
                      <a:off x="0" y="0"/>
                      <a:ext cx="3776011" cy="4032495"/>
                    </a:xfrm>
                    <a:prstGeom prst="rect">
                      <a:avLst/>
                    </a:prstGeom>
                    <a:noFill/>
                    <a:ln w="9525">
                      <a:noFill/>
                      <a:miter lim="800000"/>
                      <a:headEnd/>
                      <a:tailEnd/>
                    </a:ln>
                  </pic:spPr>
                </pic:pic>
              </a:graphicData>
            </a:graphic>
          </wp:inline>
        </w:drawing>
      </w:r>
    </w:p>
    <w:p w:rsidR="009333AE" w:rsidRPr="00904569" w:rsidRDefault="00811B2D" w:rsidP="005848FD">
      <w:pPr>
        <w:pStyle w:val="Beschriftung"/>
        <w:jc w:val="center"/>
        <w:rPr>
          <w:rStyle w:val="TabellenbeschriftungZchn"/>
          <w:lang w:val="en-US"/>
        </w:rPr>
      </w:pPr>
      <w:bookmarkStart w:id="7" w:name="_Toc294469005"/>
      <w:r>
        <w:rPr>
          <w:color w:val="auto"/>
        </w:rPr>
        <w:t>Figu</w:t>
      </w:r>
      <w:r w:rsidR="005848FD" w:rsidRPr="005848FD">
        <w:rPr>
          <w:color w:val="auto"/>
        </w:rPr>
        <w:t xml:space="preserve">re </w:t>
      </w:r>
      <w:r w:rsidR="002A0101" w:rsidRPr="005848FD">
        <w:rPr>
          <w:color w:val="auto"/>
        </w:rPr>
        <w:fldChar w:fldCharType="begin"/>
      </w:r>
      <w:r w:rsidR="005848FD" w:rsidRPr="005848FD">
        <w:rPr>
          <w:color w:val="auto"/>
        </w:rPr>
        <w:instrText xml:space="preserve"> SEQ Figure \* ARABIC </w:instrText>
      </w:r>
      <w:r w:rsidR="002A0101" w:rsidRPr="005848FD">
        <w:rPr>
          <w:color w:val="auto"/>
        </w:rPr>
        <w:fldChar w:fldCharType="separate"/>
      </w:r>
      <w:r w:rsidR="00904569">
        <w:rPr>
          <w:noProof/>
          <w:color w:val="auto"/>
        </w:rPr>
        <w:t>3</w:t>
      </w:r>
      <w:r w:rsidR="002A0101" w:rsidRPr="005848FD">
        <w:rPr>
          <w:color w:val="auto"/>
        </w:rPr>
        <w:fldChar w:fldCharType="end"/>
      </w:r>
      <w:r w:rsidR="007242CE">
        <w:rPr>
          <w:color w:val="auto"/>
        </w:rPr>
        <w:t>:  GHG</w:t>
      </w:r>
      <w:r>
        <w:rPr>
          <w:color w:val="auto"/>
        </w:rPr>
        <w:t xml:space="preserve"> mitigation</w:t>
      </w:r>
      <w:r w:rsidR="007242CE">
        <w:rPr>
          <w:color w:val="auto"/>
        </w:rPr>
        <w:t xml:space="preserve"> </w:t>
      </w:r>
      <w:r w:rsidR="005848FD" w:rsidRPr="005848FD">
        <w:rPr>
          <w:color w:val="auto"/>
        </w:rPr>
        <w:t>and primary energy</w:t>
      </w:r>
      <w:r>
        <w:rPr>
          <w:color w:val="auto"/>
        </w:rPr>
        <w:t xml:space="preserve"> saving potentials of biofuels</w:t>
      </w:r>
      <w:r w:rsidR="00EA4BA0">
        <w:rPr>
          <w:rStyle w:val="Funotenzeichen"/>
          <w:color w:val="auto"/>
        </w:rPr>
        <w:footnoteReference w:id="11"/>
      </w:r>
      <w:bookmarkEnd w:id="7"/>
      <w:r w:rsidR="005848FD" w:rsidRPr="00904569">
        <w:rPr>
          <w:rStyle w:val="TabellenbeschriftungZchn"/>
          <w:lang w:val="en-US"/>
        </w:rPr>
        <w:t xml:space="preserve"> </w:t>
      </w:r>
    </w:p>
    <w:p w:rsidR="00EA4BA0" w:rsidRPr="00EA4BA0" w:rsidRDefault="00EA4BA0" w:rsidP="00EA4BA0"/>
    <w:p w:rsidR="009333AE" w:rsidRPr="004558EF" w:rsidRDefault="009333AE" w:rsidP="00D610E7">
      <w:pPr>
        <w:rPr>
          <w:bCs/>
          <w:lang w:val="en-US"/>
        </w:rPr>
      </w:pPr>
      <w:r w:rsidRPr="004558EF">
        <w:rPr>
          <w:lang w:val="en-US"/>
        </w:rPr>
        <w:t>From the figure describing life cycle comparisons of biofuels from energy crops and fossil fuels for energy consumption and greenhouse gases</w:t>
      </w:r>
      <w:r w:rsidRPr="004558EF">
        <w:rPr>
          <w:sz w:val="18"/>
          <w:szCs w:val="18"/>
          <w:lang w:val="en-US"/>
        </w:rPr>
        <w:t xml:space="preserve"> </w:t>
      </w:r>
      <w:r w:rsidRPr="004558EF">
        <w:rPr>
          <w:lang w:val="en-US"/>
        </w:rPr>
        <w:t xml:space="preserve">it is clear that most of the results are in favor of biofuels except palm oil from palm oil plantations. However, land use effect (e.g. carbon stock changes of soil and vegetation) and indirect land use changes are not taken into consideration in the studies searched by </w:t>
      </w:r>
      <w:r w:rsidRPr="004558EF">
        <w:rPr>
          <w:bCs/>
          <w:lang w:val="en-US"/>
        </w:rPr>
        <w:t>Reinhardt and von Falkenstein (2010). Including this can completely change the total impact of biofuels to even opposite sign. Also efficiency of production must be considered. Brazil is very efficient in producing biofuels, but the devastation</w:t>
      </w:r>
      <w:r w:rsidR="002B19F2">
        <w:rPr>
          <w:bCs/>
          <w:lang w:val="en-US"/>
        </w:rPr>
        <w:t xml:space="preserve"> of the tropical forests remains an unsolved problem</w:t>
      </w:r>
      <w:r w:rsidRPr="004558EF">
        <w:rPr>
          <w:bCs/>
          <w:lang w:val="en-US"/>
        </w:rPr>
        <w:t>. Other advantages and reasons to produce biofuels are sustainability and renewability, fuel diversity and reduction of use of fossil fuels, increased employment</w:t>
      </w:r>
      <w:r w:rsidR="00D21AD4">
        <w:rPr>
          <w:bCs/>
          <w:lang w:val="en-US"/>
        </w:rPr>
        <w:t xml:space="preserve"> in rural areas, etc. (Demirbas</w:t>
      </w:r>
      <w:r w:rsidRPr="004558EF">
        <w:rPr>
          <w:bCs/>
          <w:lang w:val="en-US"/>
        </w:rPr>
        <w:t xml:space="preserve"> 2009).</w:t>
      </w:r>
    </w:p>
    <w:p w:rsidR="009333AE" w:rsidRPr="004558EF" w:rsidRDefault="002B19F2" w:rsidP="00D610E7">
      <w:pPr>
        <w:rPr>
          <w:color w:val="888888"/>
          <w:lang w:val="en-US" w:eastAsia="cs-CZ"/>
        </w:rPr>
      </w:pPr>
      <w:r>
        <w:rPr>
          <w:lang w:val="en-US"/>
        </w:rPr>
        <w:t xml:space="preserve">The main disadvantage is </w:t>
      </w:r>
      <w:r w:rsidR="009333AE" w:rsidRPr="004558EF">
        <w:rPr>
          <w:lang w:val="en-US"/>
        </w:rPr>
        <w:t>competition w</w:t>
      </w:r>
      <w:r>
        <w:rPr>
          <w:lang w:val="en-US"/>
        </w:rPr>
        <w:t xml:space="preserve">ith agriculture food production and land use - </w:t>
      </w:r>
      <w:r w:rsidR="009333AE" w:rsidRPr="004558EF">
        <w:rPr>
          <w:lang w:val="en-US"/>
        </w:rPr>
        <w:t>also connected with increased food prices (prices of agricultural raw materials), mainly due to financial speculation with biofuels prices, competing biomass, increased</w:t>
      </w:r>
      <w:r w:rsidR="007C2BF8">
        <w:rPr>
          <w:lang w:val="en-US"/>
        </w:rPr>
        <w:t xml:space="preserve"> use of</w:t>
      </w:r>
      <w:r w:rsidR="009333AE" w:rsidRPr="004558EF">
        <w:rPr>
          <w:lang w:val="en-US"/>
        </w:rPr>
        <w:t xml:space="preserve"> fertilizers (more intensive agricultural production and </w:t>
      </w:r>
      <w:r w:rsidR="007C2BF8">
        <w:rPr>
          <w:lang w:val="en-US"/>
        </w:rPr>
        <w:t>therefore</w:t>
      </w:r>
      <w:r w:rsidR="009333AE" w:rsidRPr="004558EF">
        <w:rPr>
          <w:lang w:val="en-US"/>
        </w:rPr>
        <w:t xml:space="preserve"> increased </w:t>
      </w:r>
      <w:r w:rsidR="00E52A5C" w:rsidRPr="002B19F2">
        <w:t xml:space="preserve">eutrophication of surface </w:t>
      </w:r>
      <w:r w:rsidR="009333AE" w:rsidRPr="002B19F2">
        <w:t>water</w:t>
      </w:r>
      <w:r w:rsidR="009333AE" w:rsidRPr="004558EF">
        <w:rPr>
          <w:lang w:val="en-US"/>
        </w:rPr>
        <w:t xml:space="preserve">), water pollution (by pesticides) and water usage (scarce water resources in some regions), energy used, logistics, danger of deforestation (tropical forests), negative impact on biodiversity and local ecosystem, etc. </w:t>
      </w:r>
      <w:r w:rsidR="005848FD">
        <w:rPr>
          <w:lang w:val="en-US"/>
        </w:rPr>
        <w:t>B</w:t>
      </w:r>
      <w:r w:rsidR="009333AE" w:rsidRPr="004558EF">
        <w:rPr>
          <w:lang w:val="en-US"/>
        </w:rPr>
        <w:t>iofuels are also</w:t>
      </w:r>
      <w:r w:rsidR="007C2BF8">
        <w:rPr>
          <w:lang w:val="en-US"/>
        </w:rPr>
        <w:t xml:space="preserve"> a</w:t>
      </w:r>
      <w:r w:rsidR="009333AE" w:rsidRPr="004558EF">
        <w:rPr>
          <w:lang w:val="en-US"/>
        </w:rPr>
        <w:t xml:space="preserve"> very expensive option in terms of total production costs excluding government subsidies providing only low GHG reductions</w:t>
      </w:r>
      <w:r w:rsidR="00D411C8">
        <w:rPr>
          <w:lang w:val="en-US"/>
        </w:rPr>
        <w:t xml:space="preserve"> at relatively high costs (IEA</w:t>
      </w:r>
      <w:r w:rsidR="00D21AD4">
        <w:rPr>
          <w:lang w:val="en-US"/>
        </w:rPr>
        <w:t xml:space="preserve"> </w:t>
      </w:r>
      <w:r w:rsidR="009333AE" w:rsidRPr="004558EF">
        <w:rPr>
          <w:lang w:val="en-US"/>
        </w:rPr>
        <w:t xml:space="preserve">2009).  </w:t>
      </w:r>
    </w:p>
    <w:p w:rsidR="00E52A5C" w:rsidRPr="007139D2" w:rsidRDefault="009333AE" w:rsidP="007139D2">
      <w:pPr>
        <w:pStyle w:val="berschrift2"/>
        <w:rPr>
          <w:u w:val="single"/>
          <w:lang w:val="en-US"/>
        </w:rPr>
      </w:pPr>
      <w:bookmarkStart w:id="8" w:name="_Toc294469066"/>
      <w:r w:rsidRPr="007139D2">
        <w:rPr>
          <w:lang w:val="en-US"/>
        </w:rPr>
        <w:lastRenderedPageBreak/>
        <w:t>Advantages and disadvantages of the 2</w:t>
      </w:r>
      <w:r w:rsidRPr="007139D2">
        <w:rPr>
          <w:vertAlign w:val="superscript"/>
          <w:lang w:val="en-US"/>
        </w:rPr>
        <w:t>nd</w:t>
      </w:r>
      <w:r w:rsidRPr="007139D2">
        <w:rPr>
          <w:lang w:val="en-US"/>
        </w:rPr>
        <w:t xml:space="preserve"> generation</w:t>
      </w:r>
      <w:bookmarkEnd w:id="8"/>
      <w:r w:rsidRPr="007139D2">
        <w:rPr>
          <w:lang w:val="en-US"/>
        </w:rPr>
        <w:t xml:space="preserve"> </w:t>
      </w:r>
    </w:p>
    <w:p w:rsidR="00E52A5C" w:rsidRDefault="00E52A5C" w:rsidP="009C7100">
      <w:r w:rsidRPr="007101E2">
        <w:t xml:space="preserve">Since first generation biofuels caused a lot of controversies </w:t>
      </w:r>
      <w:r>
        <w:t>concerning</w:t>
      </w:r>
      <w:r w:rsidRPr="007101E2">
        <w:t xml:space="preserve"> land use, competition with areas for food production, limited </w:t>
      </w:r>
      <w:r w:rsidR="007C2BF8">
        <w:t>GHG</w:t>
      </w:r>
      <w:r w:rsidRPr="007101E2">
        <w:t xml:space="preserve"> saving potential and supply of feedstock, research is now emphasizing on second generation biofuels. Since second generation fuels do not only use parts of the plant (e.g.: starch, sugars and oils) like the first generation biofuels but also use the lingo-cellulosic parts</w:t>
      </w:r>
      <w:r>
        <w:t xml:space="preserve">, </w:t>
      </w:r>
      <w:r w:rsidRPr="007101E2">
        <w:t>agricultural residues and waste, hope for a more sustainable production of biofuels has risen again and investments in R&amp;D are promoted. Second generation biofuels are those biofuels produced from cellulose, hemicelluloses or lignin. 2</w:t>
      </w:r>
      <w:r w:rsidRPr="007101E2">
        <w:rPr>
          <w:vertAlign w:val="superscript"/>
        </w:rPr>
        <w:t>nd</w:t>
      </w:r>
      <w:r w:rsidRPr="007101E2">
        <w:t xml:space="preserve"> generation biofuel can either be blended with petroleum-based fuels combusted in existing internal combustion engines, and distributed through existing infrastructure or is dedicated for the use in slightly adapted vehicles with internal combustion engines (e.g. vehicles for DME). Examples of 2</w:t>
      </w:r>
      <w:r w:rsidRPr="007101E2">
        <w:rPr>
          <w:vertAlign w:val="superscript"/>
        </w:rPr>
        <w:t>nd</w:t>
      </w:r>
      <w:r w:rsidRPr="007101E2">
        <w:t xml:space="preserve"> generation biofuels are cellulosic ethanol and Fischer-Tropsch fuels. </w:t>
      </w:r>
      <w:r>
        <w:t>(</w:t>
      </w:r>
      <w:r w:rsidRPr="007101E2">
        <w:t>IEA Bioenergy Task 39, 2009</w:t>
      </w:r>
      <w:r>
        <w:t>)</w:t>
      </w:r>
    </w:p>
    <w:p w:rsidR="00E52A5C" w:rsidRPr="00042787" w:rsidRDefault="00E52A5C" w:rsidP="009C7100">
      <w:r w:rsidRPr="00042787">
        <w:t>2</w:t>
      </w:r>
      <w:r w:rsidRPr="00042787">
        <w:rPr>
          <w:vertAlign w:val="superscript"/>
        </w:rPr>
        <w:t>nd</w:t>
      </w:r>
      <w:r w:rsidRPr="00042787">
        <w:t xml:space="preserve"> generation biofuels can be made</w:t>
      </w:r>
      <w:r>
        <w:t xml:space="preserve"> available</w:t>
      </w:r>
      <w:r w:rsidRPr="00042787">
        <w:t xml:space="preserve"> </w:t>
      </w:r>
      <w:r w:rsidR="00534179">
        <w:t>by</w:t>
      </w:r>
      <w:r w:rsidRPr="00042787">
        <w:t xml:space="preserve"> </w:t>
      </w:r>
      <w:r>
        <w:t>two different</w:t>
      </w:r>
      <w:r w:rsidR="00D411C8">
        <w:t xml:space="preserve"> conversion routes (Sims et al.</w:t>
      </w:r>
      <w:r>
        <w:t xml:space="preserve"> 2009 and IEA):</w:t>
      </w:r>
    </w:p>
    <w:p w:rsidR="00E52A5C" w:rsidRDefault="00E52A5C" w:rsidP="009C7100">
      <w:r w:rsidRPr="00042787">
        <w:rPr>
          <w:b/>
        </w:rPr>
        <w:t>Bio-Chemical:</w:t>
      </w:r>
      <w:r>
        <w:t xml:space="preserve"> Enzymatic hydrolysis of lingo-cellulosic material into sugars. Then sugars are fermented into alcohol and later destilled into ethanol.</w:t>
      </w:r>
    </w:p>
    <w:p w:rsidR="00E52A5C" w:rsidRDefault="00E52A5C" w:rsidP="009C7100">
      <w:r w:rsidRPr="00042787">
        <w:rPr>
          <w:b/>
        </w:rPr>
        <w:t>Thermo-Chemical:</w:t>
      </w:r>
      <w:r w:rsidR="00EF163C">
        <w:rPr>
          <w:b/>
        </w:rPr>
        <w:t xml:space="preserve"> </w:t>
      </w:r>
      <w:r w:rsidRPr="00042787">
        <w:t>Also</w:t>
      </w:r>
      <w:r>
        <w:rPr>
          <w:b/>
        </w:rPr>
        <w:t xml:space="preserve"> </w:t>
      </w:r>
      <w:r w:rsidRPr="00042787">
        <w:t>btl (biomass-to-liquid)</w:t>
      </w:r>
      <w:r>
        <w:t>.</w:t>
      </w:r>
      <w:r>
        <w:rPr>
          <w:b/>
        </w:rPr>
        <w:t xml:space="preserve"> </w:t>
      </w:r>
      <w:r w:rsidRPr="00042787">
        <w:t xml:space="preserve">Pyrolysis or </w:t>
      </w:r>
      <w:r>
        <w:t>g</w:t>
      </w:r>
      <w:r w:rsidRPr="00042787">
        <w:t>asification pr</w:t>
      </w:r>
      <w:r>
        <w:t xml:space="preserve">oduces a </w:t>
      </w:r>
      <w:r w:rsidRPr="00042787">
        <w:t>synthesis gas. The synthesis gas is transformed into (i) liquid (btl-Diesel) or (ii) gaseous fuel (bio-SNG).</w:t>
      </w:r>
      <w:r>
        <w:t xml:space="preserve"> It is based on the Fischer-Tropsch conversion.</w:t>
      </w:r>
    </w:p>
    <w:p w:rsidR="00E52A5C" w:rsidRPr="007101E2" w:rsidRDefault="00E52A5C" w:rsidP="00E52A5C">
      <w:r w:rsidRPr="007101E2">
        <w:t xml:space="preserve">But even second generation biofuels are no universal remedy. Still they cannot compete with conventional fossil fuels in prices without governments subsidies (with </w:t>
      </w:r>
      <w:smartTag w:uri="urn:schemas-microsoft-com:office:smarttags" w:element="place">
        <w:smartTag w:uri="urn:schemas-microsoft-com:office:smarttags" w:element="country-region">
          <w:r w:rsidRPr="007101E2">
            <w:t>Brazil</w:t>
          </w:r>
        </w:smartTag>
      </w:smartTag>
      <w:r w:rsidRPr="007101E2">
        <w:t xml:space="preserve"> being the only exception) and because of constraints due to logistics problems (supply for year-round availability of feedstocks) and can</w:t>
      </w:r>
      <w:r>
        <w:t>n</w:t>
      </w:r>
      <w:r w:rsidRPr="007101E2">
        <w:t>ot yet be commercially deployed. (</w:t>
      </w:r>
      <w:r w:rsidR="00D411C8">
        <w:t>Sims et al.</w:t>
      </w:r>
      <w:r w:rsidRPr="007101E2">
        <w:t xml:space="preserve"> 2009)</w:t>
      </w:r>
      <w:r>
        <w:t xml:space="preserve"> At the moment only demonstration plants are i</w:t>
      </w:r>
      <w:r w:rsidR="00B84930">
        <w:t>n operation, which are located i.e</w:t>
      </w:r>
      <w:r>
        <w:t>. in Frei</w:t>
      </w:r>
      <w:r w:rsidR="00EF163C">
        <w:t>burg (Germany) by Choren</w:t>
      </w:r>
      <w:r w:rsidR="00D411C8">
        <w:t xml:space="preserve"> (Fischer, Hizsnyik 2009, p.61</w:t>
      </w:r>
      <w:r>
        <w:t>)</w:t>
      </w:r>
      <w:r w:rsidR="00EF163C">
        <w:t xml:space="preserve"> and in Canada operated by Iogen</w:t>
      </w:r>
      <w:r w:rsidR="00EF163C">
        <w:rPr>
          <w:rStyle w:val="Funotenzeichen"/>
        </w:rPr>
        <w:footnoteReference w:id="12"/>
      </w:r>
      <w:r w:rsidR="00EF163C">
        <w:t>.</w:t>
      </w:r>
    </w:p>
    <w:p w:rsidR="00E52A5C" w:rsidRPr="00B0441E" w:rsidRDefault="00E52A5C" w:rsidP="00EF163C">
      <w:r w:rsidRPr="007101E2">
        <w:t>Second generation biofuels have some advantage compared with biofuels of the first generation that make them more sustainable than their forerunner. They don’t need as much arable land because their yield is significantly higher than that of the 1</w:t>
      </w:r>
      <w:r w:rsidRPr="007101E2">
        <w:rPr>
          <w:vertAlign w:val="superscript"/>
        </w:rPr>
        <w:t>st</w:t>
      </w:r>
      <w:r w:rsidRPr="007101E2">
        <w:t xml:space="preserve"> generation and some plants even can grow on lands that don’t have high demands for quality, although they also need sufficient irrigation and specific nutrients. With the 2</w:t>
      </w:r>
      <w:r w:rsidRPr="007101E2">
        <w:rPr>
          <w:vertAlign w:val="superscript"/>
        </w:rPr>
        <w:t>nd</w:t>
      </w:r>
      <w:r w:rsidRPr="007101E2">
        <w:t xml:space="preserve"> generation, already available land can be used which was not apt for cultivation of cereals or other plants for food production. Therefore it would not stand i</w:t>
      </w:r>
      <w:r>
        <w:t xml:space="preserve">n competition for food anymore. </w:t>
      </w:r>
      <w:r w:rsidRPr="006720F8">
        <w:t>According to a study conducted by WWF Brazil, no further def</w:t>
      </w:r>
      <w:r>
        <w:t>orestation would be necessary in Brazil</w:t>
      </w:r>
      <w:r w:rsidRPr="006720F8">
        <w:t xml:space="preserve"> because of already available land</w:t>
      </w:r>
      <w:r w:rsidR="00EF163C">
        <w:t xml:space="preserve"> (degraded pastureland)</w:t>
      </w:r>
      <w:r w:rsidRPr="006720F8">
        <w:t xml:space="preserve"> that </w:t>
      </w:r>
      <w:r w:rsidR="00EF163C">
        <w:t>could</w:t>
      </w:r>
      <w:r w:rsidRPr="006720F8">
        <w:t xml:space="preserve"> be used for cultivation o</w:t>
      </w:r>
      <w:r w:rsidR="00D411C8">
        <w:t xml:space="preserve">f feedstocks for biofuels. (WWF </w:t>
      </w:r>
      <w:r w:rsidR="00516104">
        <w:t>Brasil</w:t>
      </w:r>
      <w:r w:rsidRPr="006720F8">
        <w:t xml:space="preserve"> 2009)</w:t>
      </w:r>
      <w:r w:rsidR="00EF163C">
        <w:t xml:space="preserve"> </w:t>
      </w:r>
      <w:r>
        <w:t xml:space="preserve">The main drivers of the development of biofuels are </w:t>
      </w:r>
      <w:r w:rsidR="00D411C8">
        <w:t xml:space="preserve">(Sims et al. </w:t>
      </w:r>
      <w:r w:rsidRPr="00B0441E">
        <w:t>2009)</w:t>
      </w:r>
      <w:r>
        <w:t xml:space="preserve">: </w:t>
      </w:r>
      <w:r w:rsidRPr="007101E2">
        <w:t>Energy supply security</w:t>
      </w:r>
      <w:r w:rsidR="005848FD">
        <w:t>, w</w:t>
      </w:r>
      <w:r w:rsidR="00B84930">
        <w:t>ish for i</w:t>
      </w:r>
      <w:r w:rsidRPr="007101E2">
        <w:t>ndependence</w:t>
      </w:r>
      <w:r w:rsidR="005848FD">
        <w:t>, e</w:t>
      </w:r>
      <w:r w:rsidRPr="007101E2">
        <w:t>ncouragement of rural areas</w:t>
      </w:r>
      <w:r w:rsidR="005848FD">
        <w:t>, r</w:t>
      </w:r>
      <w:r w:rsidRPr="007101E2">
        <w:t>eduction of GHG emissions</w:t>
      </w:r>
      <w:r w:rsidR="005848FD">
        <w:t>.</w:t>
      </w:r>
    </w:p>
    <w:p w:rsidR="00E52A5C" w:rsidRPr="00876E76" w:rsidRDefault="00E52A5C" w:rsidP="007139D2">
      <w:pPr>
        <w:pStyle w:val="berschrift3"/>
      </w:pPr>
      <w:bookmarkStart w:id="9" w:name="_Toc294469067"/>
      <w:r w:rsidRPr="00876E76">
        <w:t>Production costs and potentials</w:t>
      </w:r>
      <w:bookmarkEnd w:id="9"/>
    </w:p>
    <w:p w:rsidR="00E52A5C" w:rsidRDefault="00E52A5C" w:rsidP="00E52A5C">
      <w:r>
        <w:t>As 2</w:t>
      </w:r>
      <w:r w:rsidRPr="0044530D">
        <w:rPr>
          <w:vertAlign w:val="superscript"/>
        </w:rPr>
        <w:t>nd</w:t>
      </w:r>
      <w:r>
        <w:t xml:space="preserve"> generation biofuels are not yet ready for commercialization, there are no long-time studies, which can prove the full production costs and the development of cost reduction due to economies of scale, feedstock prices, deployment of new technologies and learning and </w:t>
      </w:r>
      <w:r>
        <w:lastRenderedPageBreak/>
        <w:t>experience. Whereas there are higher expected cost reduction effects for bioethanol produced biochemically than for the BtL process, which is already established (as coal- or biogas-to-liquid process) for many years. At present, investments in second generation biofuels are very risky, as oi</w:t>
      </w:r>
      <w:r w:rsidR="00214071">
        <w:t xml:space="preserve">l and gas prices are not stable. </w:t>
      </w:r>
      <w:r w:rsidR="00D411C8">
        <w:t xml:space="preserve">(Sims et al. </w:t>
      </w:r>
      <w:r>
        <w:t>2009)</w:t>
      </w:r>
    </w:p>
    <w:tbl>
      <w:tblPr>
        <w:tblStyle w:val="Tabellengitternetz"/>
        <w:tblW w:w="0" w:type="auto"/>
        <w:tblLook w:val="04A0"/>
      </w:tblPr>
      <w:tblGrid>
        <w:gridCol w:w="4606"/>
        <w:gridCol w:w="4606"/>
      </w:tblGrid>
      <w:tr w:rsidR="00E52A5C" w:rsidTr="00E52A5C">
        <w:trPr>
          <w:trHeight w:val="258"/>
        </w:trPr>
        <w:tc>
          <w:tcPr>
            <w:tcW w:w="4606" w:type="dxa"/>
            <w:shd w:val="clear" w:color="auto" w:fill="76923C" w:themeFill="accent3" w:themeFillShade="BF"/>
          </w:tcPr>
          <w:p w:rsidR="00E52A5C" w:rsidRPr="00E52A5C" w:rsidRDefault="00E52A5C" w:rsidP="00E52A5C">
            <w:pPr>
              <w:spacing w:after="0"/>
              <w:jc w:val="center"/>
            </w:pPr>
            <w:r w:rsidRPr="00E52A5C">
              <w:t>Advantages</w:t>
            </w:r>
          </w:p>
        </w:tc>
        <w:tc>
          <w:tcPr>
            <w:tcW w:w="4606" w:type="dxa"/>
            <w:shd w:val="clear" w:color="auto" w:fill="76923C" w:themeFill="accent3" w:themeFillShade="BF"/>
          </w:tcPr>
          <w:p w:rsidR="00E52A5C" w:rsidRPr="00E52A5C" w:rsidRDefault="00E52A5C" w:rsidP="00E52A5C">
            <w:pPr>
              <w:spacing w:after="0"/>
              <w:jc w:val="center"/>
            </w:pPr>
            <w:r w:rsidRPr="00E52A5C">
              <w:t>Disadvantages</w:t>
            </w:r>
          </w:p>
        </w:tc>
      </w:tr>
      <w:tr w:rsidR="00E52A5C" w:rsidTr="00E52A5C">
        <w:tc>
          <w:tcPr>
            <w:tcW w:w="4606" w:type="dxa"/>
          </w:tcPr>
          <w:p w:rsidR="00E52A5C" w:rsidRPr="00A92145" w:rsidRDefault="00E52A5C" w:rsidP="00A72B7F">
            <w:pPr>
              <w:pStyle w:val="Listenabsatz"/>
              <w:numPr>
                <w:ilvl w:val="0"/>
                <w:numId w:val="43"/>
              </w:numPr>
              <w:spacing w:line="288" w:lineRule="auto"/>
              <w:ind w:left="714" w:hanging="357"/>
              <w:rPr>
                <w:sz w:val="20"/>
                <w:lang w:val="en-US"/>
              </w:rPr>
            </w:pPr>
            <w:r w:rsidRPr="00A92145">
              <w:rPr>
                <w:sz w:val="20"/>
                <w:lang w:val="en-US"/>
              </w:rPr>
              <w:t>Rely on forest residues and high yielding non-food energy crops</w:t>
            </w:r>
          </w:p>
          <w:p w:rsidR="00E52A5C" w:rsidRPr="00A92145" w:rsidRDefault="00E52A5C" w:rsidP="00A72B7F">
            <w:pPr>
              <w:pStyle w:val="Listenabsatz"/>
              <w:numPr>
                <w:ilvl w:val="0"/>
                <w:numId w:val="43"/>
              </w:numPr>
              <w:spacing w:line="288" w:lineRule="auto"/>
              <w:ind w:left="714" w:hanging="357"/>
              <w:rPr>
                <w:sz w:val="20"/>
                <w:lang w:val="en-US"/>
              </w:rPr>
            </w:pPr>
            <w:r w:rsidRPr="00A92145">
              <w:rPr>
                <w:sz w:val="20"/>
                <w:lang w:val="en-US"/>
              </w:rPr>
              <w:t>Can be cultivated on lower abundant soil</w:t>
            </w:r>
          </w:p>
          <w:p w:rsidR="00E52A5C" w:rsidRPr="00A92145" w:rsidRDefault="00E52A5C" w:rsidP="00A72B7F">
            <w:pPr>
              <w:pStyle w:val="Listenabsatz"/>
              <w:numPr>
                <w:ilvl w:val="0"/>
                <w:numId w:val="43"/>
              </w:numPr>
              <w:spacing w:line="288" w:lineRule="auto"/>
              <w:ind w:left="714" w:hanging="357"/>
              <w:rPr>
                <w:sz w:val="20"/>
                <w:lang w:val="en-US"/>
              </w:rPr>
            </w:pPr>
            <w:r w:rsidRPr="00A92145">
              <w:rPr>
                <w:sz w:val="20"/>
                <w:lang w:val="en-US"/>
              </w:rPr>
              <w:t xml:space="preserve">Are considered to be </w:t>
            </w:r>
            <w:r w:rsidR="00D411C8" w:rsidRPr="00A92145">
              <w:rPr>
                <w:sz w:val="20"/>
                <w:lang w:val="en-US"/>
              </w:rPr>
              <w:t xml:space="preserve">produced more sustainable (Sims et al. </w:t>
            </w:r>
            <w:r w:rsidRPr="00A92145">
              <w:rPr>
                <w:sz w:val="20"/>
                <w:lang w:val="en-US"/>
              </w:rPr>
              <w:t>2009)</w:t>
            </w:r>
          </w:p>
          <w:p w:rsidR="00E52A5C" w:rsidRPr="00A72B7F" w:rsidRDefault="00E52A5C" w:rsidP="00A72B7F">
            <w:pPr>
              <w:pStyle w:val="Listenabsatz"/>
              <w:numPr>
                <w:ilvl w:val="0"/>
                <w:numId w:val="43"/>
              </w:numPr>
              <w:spacing w:line="288" w:lineRule="auto"/>
              <w:ind w:left="714" w:hanging="357"/>
              <w:rPr>
                <w:sz w:val="20"/>
              </w:rPr>
            </w:pPr>
            <w:r w:rsidRPr="00A72B7F">
              <w:rPr>
                <w:sz w:val="20"/>
              </w:rPr>
              <w:t>Consuming waste residues</w:t>
            </w:r>
          </w:p>
          <w:p w:rsidR="00E52A5C" w:rsidRPr="00A72B7F" w:rsidRDefault="00E52A5C" w:rsidP="00A72B7F">
            <w:pPr>
              <w:pStyle w:val="Listenabsatz"/>
              <w:numPr>
                <w:ilvl w:val="0"/>
                <w:numId w:val="43"/>
              </w:numPr>
              <w:spacing w:line="288" w:lineRule="auto"/>
              <w:ind w:left="714" w:hanging="357"/>
              <w:rPr>
                <w:sz w:val="20"/>
              </w:rPr>
            </w:pPr>
            <w:r w:rsidRPr="00A72B7F">
              <w:rPr>
                <w:sz w:val="20"/>
              </w:rPr>
              <w:t>Using abandoned land</w:t>
            </w:r>
          </w:p>
          <w:p w:rsidR="00E52A5C" w:rsidRPr="00A72B7F" w:rsidRDefault="00E52A5C" w:rsidP="00A72B7F">
            <w:pPr>
              <w:pStyle w:val="Listenabsatz"/>
              <w:numPr>
                <w:ilvl w:val="0"/>
                <w:numId w:val="43"/>
              </w:numPr>
              <w:spacing w:line="288" w:lineRule="auto"/>
              <w:ind w:left="714" w:hanging="357"/>
              <w:rPr>
                <w:sz w:val="20"/>
              </w:rPr>
            </w:pPr>
            <w:r w:rsidRPr="00A72B7F">
              <w:rPr>
                <w:sz w:val="20"/>
              </w:rPr>
              <w:t>Promote rural development</w:t>
            </w:r>
          </w:p>
          <w:p w:rsidR="00E52A5C" w:rsidRPr="00A92145" w:rsidRDefault="00E52A5C" w:rsidP="00A72B7F">
            <w:pPr>
              <w:pStyle w:val="Listenabsatz"/>
              <w:numPr>
                <w:ilvl w:val="0"/>
                <w:numId w:val="43"/>
              </w:numPr>
              <w:spacing w:line="288" w:lineRule="auto"/>
              <w:ind w:left="714" w:hanging="357"/>
              <w:rPr>
                <w:sz w:val="20"/>
                <w:lang w:val="en-US"/>
              </w:rPr>
            </w:pPr>
            <w:r w:rsidRPr="00A92145">
              <w:rPr>
                <w:sz w:val="20"/>
                <w:lang w:val="en-US"/>
              </w:rPr>
              <w:t>Create jobs in rural areas (depending on the feedstock)</w:t>
            </w:r>
          </w:p>
          <w:p w:rsidR="00E52A5C" w:rsidRDefault="00E52A5C" w:rsidP="00A72B7F"/>
        </w:tc>
        <w:tc>
          <w:tcPr>
            <w:tcW w:w="4606" w:type="dxa"/>
          </w:tcPr>
          <w:p w:rsidR="00E52A5C" w:rsidRPr="00A92145" w:rsidRDefault="00E52A5C" w:rsidP="00A72B7F">
            <w:pPr>
              <w:pStyle w:val="Listenabsatz"/>
              <w:numPr>
                <w:ilvl w:val="0"/>
                <w:numId w:val="43"/>
              </w:numPr>
              <w:spacing w:line="288" w:lineRule="auto"/>
              <w:ind w:left="714" w:hanging="357"/>
              <w:rPr>
                <w:sz w:val="20"/>
                <w:lang w:val="en-US"/>
              </w:rPr>
            </w:pPr>
            <w:r w:rsidRPr="00A92145">
              <w:rPr>
                <w:sz w:val="20"/>
                <w:lang w:val="en-US"/>
              </w:rPr>
              <w:t xml:space="preserve">Can barely compete with the prices of crude oil, tar sands, gas-to-liquids and coal-to-liquids </w:t>
            </w:r>
          </w:p>
          <w:p w:rsidR="00E52A5C" w:rsidRPr="00A92145" w:rsidRDefault="00E52A5C" w:rsidP="00A72B7F">
            <w:pPr>
              <w:pStyle w:val="Listenabsatz"/>
              <w:numPr>
                <w:ilvl w:val="0"/>
                <w:numId w:val="43"/>
              </w:numPr>
              <w:spacing w:line="288" w:lineRule="auto"/>
              <w:ind w:left="714" w:hanging="357"/>
              <w:rPr>
                <w:sz w:val="20"/>
                <w:lang w:val="en-US"/>
              </w:rPr>
            </w:pPr>
            <w:r w:rsidRPr="00A92145">
              <w:rPr>
                <w:sz w:val="20"/>
                <w:lang w:val="en-US"/>
              </w:rPr>
              <w:t xml:space="preserve">High commercial risks, even </w:t>
            </w:r>
            <w:r w:rsidR="00D411C8" w:rsidRPr="00A92145">
              <w:rPr>
                <w:sz w:val="20"/>
                <w:lang w:val="en-US"/>
              </w:rPr>
              <w:t>with government subsidies (Sims et al.</w:t>
            </w:r>
            <w:r w:rsidRPr="00A92145">
              <w:rPr>
                <w:sz w:val="20"/>
                <w:lang w:val="en-US"/>
              </w:rPr>
              <w:t xml:space="preserve"> 2009)</w:t>
            </w:r>
          </w:p>
          <w:p w:rsidR="00E52A5C" w:rsidRPr="00A92145" w:rsidRDefault="00E52A5C" w:rsidP="00A72B7F">
            <w:pPr>
              <w:pStyle w:val="Listenabsatz"/>
              <w:numPr>
                <w:ilvl w:val="0"/>
                <w:numId w:val="43"/>
              </w:numPr>
              <w:spacing w:line="288" w:lineRule="auto"/>
              <w:ind w:left="714" w:hanging="357"/>
              <w:rPr>
                <w:sz w:val="20"/>
                <w:lang w:val="en-US"/>
              </w:rPr>
            </w:pPr>
            <w:r w:rsidRPr="00A92145">
              <w:rPr>
                <w:sz w:val="20"/>
                <w:lang w:val="en-US"/>
              </w:rPr>
              <w:t>Complex logistic system and good infrastructure needed- which makes it more difficult for developing countries to implement these new technologies</w:t>
            </w:r>
            <w:r w:rsidR="00D411C8" w:rsidRPr="00A92145">
              <w:rPr>
                <w:sz w:val="20"/>
                <w:lang w:val="en-US"/>
              </w:rPr>
              <w:t xml:space="preserve"> (Eisentraut </w:t>
            </w:r>
            <w:r w:rsidRPr="00A92145">
              <w:rPr>
                <w:sz w:val="20"/>
                <w:lang w:val="en-US"/>
              </w:rPr>
              <w:t>2010)</w:t>
            </w:r>
          </w:p>
          <w:p w:rsidR="00E52A5C" w:rsidRPr="00A72B7F" w:rsidRDefault="00E52A5C" w:rsidP="00A72B7F">
            <w:pPr>
              <w:pStyle w:val="Listenabsatz"/>
              <w:numPr>
                <w:ilvl w:val="0"/>
                <w:numId w:val="43"/>
              </w:numPr>
              <w:spacing w:line="288" w:lineRule="auto"/>
              <w:ind w:left="714" w:hanging="357"/>
              <w:rPr>
                <w:sz w:val="20"/>
              </w:rPr>
            </w:pPr>
            <w:r w:rsidRPr="00A72B7F">
              <w:rPr>
                <w:sz w:val="20"/>
              </w:rPr>
              <w:t>Compet</w:t>
            </w:r>
            <w:r w:rsidR="00D411C8" w:rsidRPr="00A72B7F">
              <w:rPr>
                <w:sz w:val="20"/>
              </w:rPr>
              <w:t>ition</w:t>
            </w:r>
            <w:r w:rsidRPr="00A72B7F">
              <w:rPr>
                <w:sz w:val="20"/>
              </w:rPr>
              <w:t xml:space="preserve"> with food-cultivation</w:t>
            </w:r>
          </w:p>
        </w:tc>
      </w:tr>
    </w:tbl>
    <w:p w:rsidR="00181A91" w:rsidRDefault="00181A91" w:rsidP="007139D2">
      <w:pPr>
        <w:pStyle w:val="berschrift3"/>
      </w:pPr>
      <w:bookmarkStart w:id="10" w:name="_Toc294469068"/>
      <w:r w:rsidRPr="007101E2">
        <w:t>Real CO</w:t>
      </w:r>
      <w:r w:rsidR="00EF163C">
        <w:rPr>
          <w:vertAlign w:val="subscript"/>
        </w:rPr>
        <w:t>2</w:t>
      </w:r>
      <w:r w:rsidRPr="007101E2">
        <w:t xml:space="preserve"> emissions reduction</w:t>
      </w:r>
      <w:bookmarkEnd w:id="10"/>
    </w:p>
    <w:p w:rsidR="00181A91" w:rsidRPr="00713CDF" w:rsidRDefault="00181A91" w:rsidP="00EF163C">
      <w:r w:rsidRPr="007101E2">
        <w:t>In lifecycle analyses biofuels are often considered CO</w:t>
      </w:r>
      <w:r w:rsidRPr="007101E2">
        <w:rPr>
          <w:vertAlign w:val="subscript"/>
        </w:rPr>
        <w:t xml:space="preserve">2 </w:t>
      </w:r>
      <w:r w:rsidRPr="007101E2">
        <w:t xml:space="preserve">neutral, because carbon dioxide emissions during combustion will later be absorbed from the air by newly growing feedstock. </w:t>
      </w:r>
      <w:r>
        <w:t>But it</w:t>
      </w:r>
      <w:r w:rsidRPr="007101E2">
        <w:t xml:space="preserve"> is not sufficient to calculate only CO</w:t>
      </w:r>
      <w:r w:rsidRPr="007101E2">
        <w:rPr>
          <w:vertAlign w:val="subscript"/>
        </w:rPr>
        <w:t>2</w:t>
      </w:r>
      <w:r w:rsidRPr="007101E2">
        <w:t xml:space="preserve"> that derives from combustion but the whole lifecycle of each biofuel has to be analyzed thoroughly to be able to make predictions about their impact on air pollution. Most s</w:t>
      </w:r>
      <w:r w:rsidR="00214071">
        <w:t>tudies neglect for example land-</w:t>
      </w:r>
      <w:r w:rsidRPr="007101E2">
        <w:t>use changes, which in fact have a high impact on the environment and the pollution of our atmosphere</w:t>
      </w:r>
      <w:r>
        <w:t>.</w:t>
      </w:r>
      <w:r w:rsidRPr="007101E2">
        <w:t xml:space="preserve"> Further</w:t>
      </w:r>
      <w:r>
        <w:t xml:space="preserve"> impacts of biofuel production are:</w:t>
      </w:r>
      <w:r w:rsidR="005848FD">
        <w:t xml:space="preserve"> b</w:t>
      </w:r>
      <w:r w:rsidRPr="007101E2">
        <w:t>urning of fields/forests</w:t>
      </w:r>
      <w:r w:rsidR="005848FD">
        <w:t>, d</w:t>
      </w:r>
      <w:r w:rsidRPr="007101E2">
        <w:t>rainage of peatlands</w:t>
      </w:r>
      <w:r w:rsidR="005848FD">
        <w:t xml:space="preserve"> and burning of peatlands.</w:t>
      </w:r>
      <w:r w:rsidR="003E4B78">
        <w:t xml:space="preserve"> </w:t>
      </w:r>
      <w:r w:rsidRPr="007101E2">
        <w:t>Burning practices have widely been forbidden by ASEAN</w:t>
      </w:r>
      <w:r w:rsidRPr="007101E2">
        <w:rPr>
          <w:rStyle w:val="Funotenzeichen"/>
        </w:rPr>
        <w:footnoteReference w:id="13"/>
      </w:r>
      <w:r w:rsidRPr="007101E2">
        <w:t xml:space="preserve"> member countries and RSPO</w:t>
      </w:r>
      <w:r w:rsidRPr="007101E2">
        <w:rPr>
          <w:rStyle w:val="Funotenzeichen"/>
        </w:rPr>
        <w:footnoteReference w:id="14"/>
      </w:r>
      <w:r w:rsidRPr="007101E2">
        <w:t xml:space="preserve"> but it is difficult to enforce these policies and due to lacking surveill</w:t>
      </w:r>
      <w:r w:rsidR="00D411C8">
        <w:t>ance, burning continues. (</w:t>
      </w:r>
      <w:r w:rsidRPr="007101E2">
        <w:t>AEA Technology</w:t>
      </w:r>
      <w:r w:rsidR="00D411C8">
        <w:t xml:space="preserve"> 2008, p.92</w:t>
      </w:r>
      <w:r w:rsidRPr="007101E2">
        <w:t>)</w:t>
      </w:r>
      <w:r>
        <w:t xml:space="preserve"> </w:t>
      </w:r>
      <w:r w:rsidRPr="007101E2">
        <w:t xml:space="preserve">But in the special case the lifecycle of the biofuel has to be compared with the lifecycle of its fossil fuel equivalent. </w:t>
      </w:r>
      <w:r>
        <w:t>If forestry residues are the main feedstock, no additional space for production will be needed and would prevent potential deforestatio</w:t>
      </w:r>
      <w:r w:rsidR="00D411C8">
        <w:t xml:space="preserve">n or degradation of land. (Eisentraut </w:t>
      </w:r>
      <w:r>
        <w:t>2010)</w:t>
      </w:r>
    </w:p>
    <w:p w:rsidR="0094552C" w:rsidRDefault="00181A91" w:rsidP="0094552C">
      <w:pPr>
        <w:rPr>
          <w:noProof/>
          <w:lang w:val="en-US" w:eastAsia="de-AT"/>
        </w:rPr>
      </w:pPr>
      <w:r w:rsidRPr="007101E2">
        <w:t xml:space="preserve">In comparison to the first generation, biofuels of the second generation are said to have a considerable higher GHG saving potential. The saving potential can reach up to 91% (for straw) compared to petrol or even 94% (from </w:t>
      </w:r>
      <w:r>
        <w:t>wood</w:t>
      </w:r>
      <w:r w:rsidRPr="007101E2">
        <w:t>). The following table shows the expected GHG saving potentials of different feedstocks</w:t>
      </w:r>
      <w:r>
        <w:t xml:space="preserve"> (well-to-wheel)</w:t>
      </w:r>
      <w:r w:rsidRPr="007101E2">
        <w:t>:</w:t>
      </w:r>
      <w:r w:rsidR="003E4B78" w:rsidRPr="003E4B78">
        <w:rPr>
          <w:noProof/>
          <w:lang w:val="en-US" w:eastAsia="de-AT"/>
        </w:rPr>
        <w:t xml:space="preserve"> </w:t>
      </w:r>
    </w:p>
    <w:p w:rsidR="009C0921" w:rsidRDefault="009C0921" w:rsidP="0094552C">
      <w:pPr>
        <w:rPr>
          <w:noProof/>
          <w:lang w:val="en-US" w:eastAsia="de-AT"/>
        </w:rPr>
      </w:pPr>
    </w:p>
    <w:p w:rsidR="003E4B78" w:rsidRDefault="003E4B78" w:rsidP="00DE3CCA">
      <w:pPr>
        <w:jc w:val="center"/>
      </w:pPr>
      <w:r>
        <w:rPr>
          <w:noProof/>
          <w:lang w:val="de-AT" w:eastAsia="de-AT"/>
        </w:rPr>
        <w:lastRenderedPageBreak/>
        <w:drawing>
          <wp:inline distT="0" distB="0" distL="0" distR="0">
            <wp:extent cx="4837051" cy="1904559"/>
            <wp:effectExtent l="19050" t="0" r="1649" b="0"/>
            <wp:docPr id="3"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srcRect/>
                    <a:stretch>
                      <a:fillRect/>
                    </a:stretch>
                  </pic:blipFill>
                  <pic:spPr bwMode="auto">
                    <a:xfrm>
                      <a:off x="0" y="0"/>
                      <a:ext cx="4841161" cy="1906177"/>
                    </a:xfrm>
                    <a:prstGeom prst="rect">
                      <a:avLst/>
                    </a:prstGeom>
                    <a:noFill/>
                  </pic:spPr>
                </pic:pic>
              </a:graphicData>
            </a:graphic>
          </wp:inline>
        </w:drawing>
      </w:r>
    </w:p>
    <w:p w:rsidR="00391FA8" w:rsidRPr="0094552C" w:rsidRDefault="003E4B78" w:rsidP="0094552C">
      <w:pPr>
        <w:pStyle w:val="Beschriftung"/>
        <w:jc w:val="center"/>
        <w:rPr>
          <w:color w:val="auto"/>
          <w:lang w:val="en-US" w:bidi="en-US"/>
        </w:rPr>
      </w:pPr>
      <w:bookmarkStart w:id="11" w:name="_Toc294468952"/>
      <w:r w:rsidRPr="0094552C">
        <w:rPr>
          <w:color w:val="auto"/>
        </w:rPr>
        <w:t xml:space="preserve">Table </w:t>
      </w:r>
      <w:r w:rsidR="002A0101" w:rsidRPr="0094552C">
        <w:rPr>
          <w:color w:val="auto"/>
        </w:rPr>
        <w:fldChar w:fldCharType="begin"/>
      </w:r>
      <w:r w:rsidRPr="0094552C">
        <w:rPr>
          <w:color w:val="auto"/>
        </w:rPr>
        <w:instrText xml:space="preserve"> SEQ Table \* ARABIC </w:instrText>
      </w:r>
      <w:r w:rsidR="002A0101" w:rsidRPr="0094552C">
        <w:rPr>
          <w:color w:val="auto"/>
        </w:rPr>
        <w:fldChar w:fldCharType="separate"/>
      </w:r>
      <w:r w:rsidR="00CD2294">
        <w:rPr>
          <w:noProof/>
          <w:color w:val="auto"/>
        </w:rPr>
        <w:t>1</w:t>
      </w:r>
      <w:r w:rsidR="002A0101" w:rsidRPr="0094552C">
        <w:rPr>
          <w:color w:val="auto"/>
        </w:rPr>
        <w:fldChar w:fldCharType="end"/>
      </w:r>
      <w:r w:rsidR="002C4350">
        <w:rPr>
          <w:color w:val="auto"/>
        </w:rPr>
        <w:t>: E</w:t>
      </w:r>
      <w:r w:rsidR="0094552C" w:rsidRPr="0094552C">
        <w:rPr>
          <w:color w:val="auto"/>
        </w:rPr>
        <w:t>xpected GHG saving potentials of different feedstocks (well-to-wheel)</w:t>
      </w:r>
      <w:r w:rsidR="00B67D73">
        <w:rPr>
          <w:rStyle w:val="Funotenzeichen"/>
          <w:color w:val="auto"/>
        </w:rPr>
        <w:footnoteReference w:id="15"/>
      </w:r>
      <w:bookmarkEnd w:id="11"/>
    </w:p>
    <w:p w:rsidR="00391FA8" w:rsidRPr="006E5714" w:rsidRDefault="00391FA8" w:rsidP="00391FA8">
      <w:pPr>
        <w:rPr>
          <w:lang w:val="en-US" w:bidi="en-US"/>
        </w:rPr>
      </w:pPr>
    </w:p>
    <w:tbl>
      <w:tblPr>
        <w:tblW w:w="0" w:type="auto"/>
        <w:jc w:val="center"/>
        <w:tblInd w:w="60" w:type="dxa"/>
        <w:tblCellMar>
          <w:left w:w="70" w:type="dxa"/>
          <w:right w:w="70" w:type="dxa"/>
        </w:tblCellMar>
        <w:tblLook w:val="04A0"/>
      </w:tblPr>
      <w:tblGrid>
        <w:gridCol w:w="2207"/>
        <w:gridCol w:w="1852"/>
        <w:gridCol w:w="3491"/>
      </w:tblGrid>
      <w:tr w:rsidR="00181A91" w:rsidRPr="00A92145" w:rsidTr="00E227CC">
        <w:trPr>
          <w:trHeight w:val="110"/>
          <w:jc w:val="center"/>
        </w:trPr>
        <w:tc>
          <w:tcPr>
            <w:tcW w:w="0" w:type="auto"/>
            <w:tcBorders>
              <w:top w:val="single" w:sz="8" w:space="0" w:color="auto"/>
              <w:left w:val="single" w:sz="8" w:space="0" w:color="auto"/>
              <w:bottom w:val="single" w:sz="8" w:space="0" w:color="auto"/>
              <w:right w:val="nil"/>
            </w:tcBorders>
            <w:shd w:val="clear" w:color="000000" w:fill="9BBB59"/>
            <w:noWrap/>
            <w:vAlign w:val="center"/>
            <w:hideMark/>
          </w:tcPr>
          <w:p w:rsidR="00181A91" w:rsidRPr="00A92145" w:rsidRDefault="00181A91" w:rsidP="00A72B7F">
            <w:pPr>
              <w:rPr>
                <w:lang w:val="de-AT" w:eastAsia="de-AT"/>
              </w:rPr>
            </w:pPr>
            <w:r w:rsidRPr="00A92145">
              <w:rPr>
                <w:lang w:val="de-AT" w:eastAsia="de-AT"/>
              </w:rPr>
              <w:t>Feedstock</w:t>
            </w:r>
          </w:p>
        </w:tc>
        <w:tc>
          <w:tcPr>
            <w:tcW w:w="0" w:type="auto"/>
            <w:tcBorders>
              <w:top w:val="single" w:sz="8" w:space="0" w:color="auto"/>
              <w:left w:val="single" w:sz="4" w:space="0" w:color="auto"/>
              <w:bottom w:val="single" w:sz="8" w:space="0" w:color="auto"/>
              <w:right w:val="single" w:sz="4" w:space="0" w:color="auto"/>
            </w:tcBorders>
            <w:shd w:val="clear" w:color="000000" w:fill="9BBB59"/>
            <w:noWrap/>
            <w:vAlign w:val="center"/>
            <w:hideMark/>
          </w:tcPr>
          <w:p w:rsidR="00181A91" w:rsidRPr="00A92145" w:rsidRDefault="00181A91" w:rsidP="00A72B7F">
            <w:pPr>
              <w:rPr>
                <w:lang w:val="de-AT" w:eastAsia="de-AT"/>
              </w:rPr>
            </w:pPr>
            <w:r w:rsidRPr="00A92145">
              <w:rPr>
                <w:lang w:val="de-AT" w:eastAsia="de-AT"/>
              </w:rPr>
              <w:t>GHG/CO2 saving</w:t>
            </w:r>
          </w:p>
        </w:tc>
        <w:tc>
          <w:tcPr>
            <w:tcW w:w="0" w:type="auto"/>
            <w:tcBorders>
              <w:top w:val="single" w:sz="8" w:space="0" w:color="auto"/>
              <w:left w:val="nil"/>
              <w:bottom w:val="single" w:sz="8" w:space="0" w:color="auto"/>
              <w:right w:val="single" w:sz="8" w:space="0" w:color="auto"/>
            </w:tcBorders>
            <w:shd w:val="clear" w:color="000000" w:fill="9BBB59"/>
            <w:noWrap/>
            <w:vAlign w:val="center"/>
            <w:hideMark/>
          </w:tcPr>
          <w:p w:rsidR="00181A91" w:rsidRPr="00A92145" w:rsidRDefault="00181A91" w:rsidP="00A72B7F">
            <w:pPr>
              <w:rPr>
                <w:lang w:eastAsia="de-AT"/>
              </w:rPr>
            </w:pPr>
            <w:r w:rsidRPr="00A92145">
              <w:rPr>
                <w:lang w:eastAsia="de-AT"/>
              </w:rPr>
              <w:t>Authors (year)/Source of review</w:t>
            </w:r>
          </w:p>
        </w:tc>
      </w:tr>
      <w:tr w:rsidR="00181A91" w:rsidRPr="00E83F3C" w:rsidTr="00A92145">
        <w:trPr>
          <w:trHeight w:val="174"/>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181A91" w:rsidRPr="00A72B7F" w:rsidRDefault="00181A91" w:rsidP="00A72B7F">
            <w:pPr>
              <w:rPr>
                <w:color w:val="000000"/>
                <w:lang w:val="de-AT" w:eastAsia="de-AT"/>
              </w:rPr>
            </w:pPr>
            <w:r w:rsidRPr="00A72B7F">
              <w:rPr>
                <w:color w:val="000000"/>
                <w:lang w:val="de-AT" w:eastAsia="de-AT"/>
              </w:rPr>
              <w:t>Wood (poplar)</w:t>
            </w:r>
          </w:p>
        </w:tc>
        <w:tc>
          <w:tcPr>
            <w:tcW w:w="0" w:type="auto"/>
            <w:tcBorders>
              <w:top w:val="nil"/>
              <w:left w:val="nil"/>
              <w:bottom w:val="single" w:sz="4" w:space="0" w:color="auto"/>
              <w:right w:val="single" w:sz="4" w:space="0" w:color="auto"/>
            </w:tcBorders>
            <w:shd w:val="clear" w:color="auto" w:fill="auto"/>
            <w:noWrap/>
            <w:vAlign w:val="center"/>
            <w:hideMark/>
          </w:tcPr>
          <w:p w:rsidR="00181A91" w:rsidRPr="00A72B7F" w:rsidRDefault="00181A91" w:rsidP="00A72B7F">
            <w:pPr>
              <w:rPr>
                <w:color w:val="000000"/>
                <w:lang w:val="de-AT" w:eastAsia="de-AT"/>
              </w:rPr>
            </w:pPr>
            <w:r w:rsidRPr="00A72B7F">
              <w:rPr>
                <w:color w:val="000000"/>
                <w:lang w:val="de-AT" w:eastAsia="de-AT"/>
              </w:rPr>
              <w:t>51%</w:t>
            </w:r>
          </w:p>
        </w:tc>
        <w:tc>
          <w:tcPr>
            <w:tcW w:w="0" w:type="auto"/>
            <w:tcBorders>
              <w:top w:val="nil"/>
              <w:left w:val="nil"/>
              <w:bottom w:val="single" w:sz="4" w:space="0" w:color="auto"/>
              <w:right w:val="single" w:sz="8" w:space="0" w:color="auto"/>
            </w:tcBorders>
            <w:shd w:val="clear" w:color="auto" w:fill="auto"/>
            <w:noWrap/>
            <w:vAlign w:val="center"/>
            <w:hideMark/>
          </w:tcPr>
          <w:p w:rsidR="00181A91" w:rsidRPr="00A72B7F" w:rsidRDefault="00181A91" w:rsidP="00A72B7F">
            <w:pPr>
              <w:rPr>
                <w:color w:val="000000"/>
                <w:lang w:val="es-ES" w:eastAsia="de-AT"/>
              </w:rPr>
            </w:pPr>
            <w:r w:rsidRPr="00A72B7F">
              <w:rPr>
                <w:color w:val="000000"/>
                <w:lang w:val="es-ES" w:eastAsia="de-AT"/>
              </w:rPr>
              <w:t>GM et al. (2002)/Fulton et al. 2004</w:t>
            </w:r>
          </w:p>
        </w:tc>
      </w:tr>
      <w:tr w:rsidR="00181A91" w:rsidRPr="00542345" w:rsidTr="00A92145">
        <w:trPr>
          <w:trHeight w:val="119"/>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181A91" w:rsidRPr="00A72B7F" w:rsidRDefault="00181A91" w:rsidP="00A72B7F">
            <w:pPr>
              <w:rPr>
                <w:color w:val="000000"/>
                <w:lang w:val="de-AT" w:eastAsia="de-AT"/>
              </w:rPr>
            </w:pPr>
            <w:r w:rsidRPr="00A72B7F">
              <w:rPr>
                <w:color w:val="000000"/>
                <w:lang w:val="de-AT" w:eastAsia="de-AT"/>
              </w:rPr>
              <w:t xml:space="preserve">Wood </w:t>
            </w:r>
          </w:p>
        </w:tc>
        <w:tc>
          <w:tcPr>
            <w:tcW w:w="0" w:type="auto"/>
            <w:tcBorders>
              <w:top w:val="nil"/>
              <w:left w:val="nil"/>
              <w:bottom w:val="single" w:sz="4" w:space="0" w:color="auto"/>
              <w:right w:val="single" w:sz="4" w:space="0" w:color="auto"/>
            </w:tcBorders>
            <w:shd w:val="clear" w:color="auto" w:fill="auto"/>
            <w:noWrap/>
            <w:vAlign w:val="center"/>
            <w:hideMark/>
          </w:tcPr>
          <w:p w:rsidR="00181A91" w:rsidRPr="00A72B7F" w:rsidRDefault="00181A91" w:rsidP="00A72B7F">
            <w:pPr>
              <w:rPr>
                <w:color w:val="000000"/>
                <w:lang w:val="de-AT" w:eastAsia="de-AT"/>
              </w:rPr>
            </w:pPr>
            <w:r w:rsidRPr="00A72B7F">
              <w:rPr>
                <w:color w:val="000000"/>
                <w:lang w:val="de-AT" w:eastAsia="de-AT"/>
              </w:rPr>
              <w:t xml:space="preserve">77% (CO2) </w:t>
            </w:r>
          </w:p>
        </w:tc>
        <w:tc>
          <w:tcPr>
            <w:tcW w:w="0" w:type="auto"/>
            <w:tcBorders>
              <w:top w:val="nil"/>
              <w:left w:val="nil"/>
              <w:bottom w:val="single" w:sz="4" w:space="0" w:color="auto"/>
              <w:right w:val="single" w:sz="8" w:space="0" w:color="auto"/>
            </w:tcBorders>
            <w:shd w:val="clear" w:color="auto" w:fill="auto"/>
            <w:noWrap/>
            <w:vAlign w:val="center"/>
            <w:hideMark/>
          </w:tcPr>
          <w:p w:rsidR="00181A91" w:rsidRPr="00A72B7F" w:rsidRDefault="00181A91" w:rsidP="00A72B7F">
            <w:pPr>
              <w:rPr>
                <w:color w:val="000000"/>
                <w:lang w:val="de-AT" w:eastAsia="de-AT"/>
              </w:rPr>
            </w:pPr>
            <w:r w:rsidRPr="00A72B7F">
              <w:rPr>
                <w:color w:val="000000"/>
                <w:lang w:val="de-AT" w:eastAsia="de-AT"/>
              </w:rPr>
              <w:t>Shaheen (2005)</w:t>
            </w:r>
          </w:p>
        </w:tc>
      </w:tr>
      <w:tr w:rsidR="00181A91" w:rsidRPr="00542345" w:rsidTr="00A92145">
        <w:trPr>
          <w:trHeight w:val="222"/>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181A91" w:rsidRPr="00A72B7F" w:rsidRDefault="00181A91" w:rsidP="00A72B7F">
            <w:pPr>
              <w:rPr>
                <w:color w:val="000000"/>
                <w:lang w:val="de-AT" w:eastAsia="de-AT"/>
              </w:rPr>
            </w:pPr>
            <w:r w:rsidRPr="00A72B7F">
              <w:rPr>
                <w:color w:val="000000"/>
                <w:lang w:val="de-AT" w:eastAsia="de-AT"/>
              </w:rPr>
              <w:t>Wood</w:t>
            </w:r>
          </w:p>
        </w:tc>
        <w:tc>
          <w:tcPr>
            <w:tcW w:w="0" w:type="auto"/>
            <w:tcBorders>
              <w:top w:val="nil"/>
              <w:left w:val="nil"/>
              <w:bottom w:val="single" w:sz="4" w:space="0" w:color="auto"/>
              <w:right w:val="single" w:sz="4" w:space="0" w:color="auto"/>
            </w:tcBorders>
            <w:shd w:val="clear" w:color="auto" w:fill="auto"/>
            <w:noWrap/>
            <w:vAlign w:val="center"/>
            <w:hideMark/>
          </w:tcPr>
          <w:p w:rsidR="00181A91" w:rsidRPr="00A72B7F" w:rsidRDefault="00181A91" w:rsidP="00A72B7F">
            <w:pPr>
              <w:rPr>
                <w:color w:val="000000"/>
                <w:lang w:val="de-AT" w:eastAsia="de-AT"/>
              </w:rPr>
            </w:pPr>
            <w:r w:rsidRPr="00A72B7F">
              <w:rPr>
                <w:color w:val="000000"/>
                <w:lang w:val="de-AT" w:eastAsia="de-AT"/>
              </w:rPr>
              <w:t>107%</w:t>
            </w:r>
          </w:p>
        </w:tc>
        <w:tc>
          <w:tcPr>
            <w:tcW w:w="0" w:type="auto"/>
            <w:tcBorders>
              <w:top w:val="nil"/>
              <w:left w:val="nil"/>
              <w:bottom w:val="single" w:sz="4" w:space="0" w:color="auto"/>
              <w:right w:val="single" w:sz="8" w:space="0" w:color="auto"/>
            </w:tcBorders>
            <w:shd w:val="clear" w:color="auto" w:fill="auto"/>
            <w:noWrap/>
            <w:vAlign w:val="center"/>
            <w:hideMark/>
          </w:tcPr>
          <w:p w:rsidR="00181A91" w:rsidRPr="00A72B7F" w:rsidRDefault="00181A91" w:rsidP="00A72B7F">
            <w:pPr>
              <w:rPr>
                <w:color w:val="000000"/>
                <w:lang w:val="de-AT" w:eastAsia="de-AT"/>
              </w:rPr>
            </w:pPr>
            <w:r w:rsidRPr="00A72B7F">
              <w:rPr>
                <w:color w:val="000000"/>
                <w:lang w:val="de-AT" w:eastAsia="de-AT"/>
              </w:rPr>
              <w:t>Wang (2001)/ Fulton et al. 2004</w:t>
            </w:r>
          </w:p>
        </w:tc>
      </w:tr>
      <w:tr w:rsidR="00181A91" w:rsidRPr="00542345" w:rsidTr="00A92145">
        <w:trPr>
          <w:trHeight w:val="7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181A91" w:rsidRPr="00A72B7F" w:rsidRDefault="00181A91" w:rsidP="00A72B7F">
            <w:pPr>
              <w:rPr>
                <w:color w:val="000000"/>
                <w:lang w:val="de-AT" w:eastAsia="de-AT"/>
              </w:rPr>
            </w:pPr>
            <w:r w:rsidRPr="00A72B7F">
              <w:rPr>
                <w:color w:val="000000"/>
                <w:lang w:val="de-AT" w:eastAsia="de-AT"/>
              </w:rPr>
              <w:t>Grass</w:t>
            </w:r>
          </w:p>
        </w:tc>
        <w:tc>
          <w:tcPr>
            <w:tcW w:w="0" w:type="auto"/>
            <w:tcBorders>
              <w:top w:val="nil"/>
              <w:left w:val="nil"/>
              <w:bottom w:val="single" w:sz="4" w:space="0" w:color="auto"/>
              <w:right w:val="single" w:sz="4" w:space="0" w:color="auto"/>
            </w:tcBorders>
            <w:shd w:val="clear" w:color="auto" w:fill="auto"/>
            <w:noWrap/>
            <w:vAlign w:val="center"/>
            <w:hideMark/>
          </w:tcPr>
          <w:p w:rsidR="00181A91" w:rsidRPr="00A72B7F" w:rsidRDefault="00181A91" w:rsidP="00A72B7F">
            <w:pPr>
              <w:rPr>
                <w:color w:val="000000"/>
                <w:lang w:val="de-AT" w:eastAsia="de-AT"/>
              </w:rPr>
            </w:pPr>
            <w:r w:rsidRPr="00A72B7F">
              <w:rPr>
                <w:color w:val="000000"/>
                <w:lang w:val="de-AT" w:eastAsia="de-AT"/>
              </w:rPr>
              <w:t>66-71%</w:t>
            </w:r>
          </w:p>
        </w:tc>
        <w:tc>
          <w:tcPr>
            <w:tcW w:w="0" w:type="auto"/>
            <w:tcBorders>
              <w:top w:val="nil"/>
              <w:left w:val="nil"/>
              <w:bottom w:val="single" w:sz="4" w:space="0" w:color="auto"/>
              <w:right w:val="single" w:sz="8" w:space="0" w:color="auto"/>
            </w:tcBorders>
            <w:shd w:val="clear" w:color="auto" w:fill="auto"/>
            <w:noWrap/>
            <w:vAlign w:val="center"/>
            <w:hideMark/>
          </w:tcPr>
          <w:p w:rsidR="00181A91" w:rsidRPr="00A72B7F" w:rsidRDefault="00181A91" w:rsidP="00A72B7F">
            <w:pPr>
              <w:rPr>
                <w:color w:val="000000"/>
                <w:lang w:val="de-AT" w:eastAsia="de-AT"/>
              </w:rPr>
            </w:pPr>
            <w:r w:rsidRPr="00A72B7F">
              <w:rPr>
                <w:color w:val="000000"/>
                <w:lang w:val="de-AT" w:eastAsia="de-AT"/>
              </w:rPr>
              <w:t>GM/ANL (2001)/Fulton et al. 2004</w:t>
            </w:r>
          </w:p>
        </w:tc>
      </w:tr>
      <w:tr w:rsidR="00181A91" w:rsidRPr="00542345" w:rsidTr="00A92145">
        <w:trPr>
          <w:trHeight w:val="7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181A91" w:rsidRPr="00A72B7F" w:rsidRDefault="00181A91" w:rsidP="00A72B7F">
            <w:pPr>
              <w:rPr>
                <w:color w:val="000000"/>
                <w:lang w:val="de-AT" w:eastAsia="de-AT"/>
              </w:rPr>
            </w:pPr>
            <w:r w:rsidRPr="00A72B7F">
              <w:rPr>
                <w:color w:val="000000"/>
                <w:lang w:val="de-AT" w:eastAsia="de-AT"/>
              </w:rPr>
              <w:t>Grass</w:t>
            </w:r>
          </w:p>
        </w:tc>
        <w:tc>
          <w:tcPr>
            <w:tcW w:w="0" w:type="auto"/>
            <w:tcBorders>
              <w:top w:val="nil"/>
              <w:left w:val="nil"/>
              <w:bottom w:val="single" w:sz="4" w:space="0" w:color="auto"/>
              <w:right w:val="single" w:sz="4" w:space="0" w:color="auto"/>
            </w:tcBorders>
            <w:shd w:val="clear" w:color="auto" w:fill="auto"/>
            <w:noWrap/>
            <w:vAlign w:val="center"/>
            <w:hideMark/>
          </w:tcPr>
          <w:p w:rsidR="00181A91" w:rsidRPr="00A72B7F" w:rsidRDefault="00181A91" w:rsidP="00A72B7F">
            <w:pPr>
              <w:rPr>
                <w:color w:val="000000"/>
                <w:lang w:val="de-AT" w:eastAsia="de-AT"/>
              </w:rPr>
            </w:pPr>
            <w:r w:rsidRPr="00A72B7F">
              <w:rPr>
                <w:color w:val="000000"/>
                <w:lang w:val="de-AT" w:eastAsia="de-AT"/>
              </w:rPr>
              <w:t>73%</w:t>
            </w:r>
          </w:p>
        </w:tc>
        <w:tc>
          <w:tcPr>
            <w:tcW w:w="0" w:type="auto"/>
            <w:tcBorders>
              <w:top w:val="nil"/>
              <w:left w:val="nil"/>
              <w:bottom w:val="single" w:sz="4" w:space="0" w:color="auto"/>
              <w:right w:val="single" w:sz="8" w:space="0" w:color="auto"/>
            </w:tcBorders>
            <w:shd w:val="clear" w:color="auto" w:fill="auto"/>
            <w:noWrap/>
            <w:vAlign w:val="center"/>
            <w:hideMark/>
          </w:tcPr>
          <w:p w:rsidR="00181A91" w:rsidRPr="00A72B7F" w:rsidRDefault="00181A91" w:rsidP="00A72B7F">
            <w:pPr>
              <w:rPr>
                <w:color w:val="000000"/>
                <w:lang w:val="de-AT" w:eastAsia="de-AT"/>
              </w:rPr>
            </w:pPr>
            <w:r w:rsidRPr="00A72B7F">
              <w:rPr>
                <w:color w:val="000000"/>
                <w:lang w:val="de-AT" w:eastAsia="de-AT"/>
              </w:rPr>
              <w:t>Wang (2001)/ Fulton et al. 2004</w:t>
            </w:r>
          </w:p>
        </w:tc>
      </w:tr>
      <w:tr w:rsidR="00181A91" w:rsidRPr="00542345" w:rsidTr="00A92145">
        <w:trPr>
          <w:trHeight w:val="99"/>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181A91" w:rsidRPr="00A72B7F" w:rsidRDefault="00181A91" w:rsidP="00A72B7F">
            <w:pPr>
              <w:rPr>
                <w:color w:val="000000"/>
                <w:lang w:val="de-AT" w:eastAsia="de-AT"/>
              </w:rPr>
            </w:pPr>
            <w:r w:rsidRPr="00A72B7F">
              <w:rPr>
                <w:color w:val="000000"/>
                <w:lang w:val="de-AT" w:eastAsia="de-AT"/>
              </w:rPr>
              <w:t>Grass</w:t>
            </w:r>
          </w:p>
        </w:tc>
        <w:tc>
          <w:tcPr>
            <w:tcW w:w="0" w:type="auto"/>
            <w:tcBorders>
              <w:top w:val="nil"/>
              <w:left w:val="nil"/>
              <w:bottom w:val="single" w:sz="4" w:space="0" w:color="auto"/>
              <w:right w:val="single" w:sz="4" w:space="0" w:color="auto"/>
            </w:tcBorders>
            <w:shd w:val="clear" w:color="auto" w:fill="auto"/>
            <w:noWrap/>
            <w:vAlign w:val="center"/>
            <w:hideMark/>
          </w:tcPr>
          <w:p w:rsidR="00181A91" w:rsidRPr="00A72B7F" w:rsidRDefault="00181A91" w:rsidP="00A72B7F">
            <w:pPr>
              <w:rPr>
                <w:color w:val="000000"/>
                <w:lang w:val="de-AT" w:eastAsia="de-AT"/>
              </w:rPr>
            </w:pPr>
            <w:r w:rsidRPr="00A72B7F">
              <w:rPr>
                <w:color w:val="000000"/>
                <w:lang w:val="de-AT" w:eastAsia="de-AT"/>
              </w:rPr>
              <w:t xml:space="preserve">72% (CO2) </w:t>
            </w:r>
          </w:p>
        </w:tc>
        <w:tc>
          <w:tcPr>
            <w:tcW w:w="0" w:type="auto"/>
            <w:tcBorders>
              <w:top w:val="nil"/>
              <w:left w:val="nil"/>
              <w:bottom w:val="single" w:sz="4" w:space="0" w:color="auto"/>
              <w:right w:val="single" w:sz="8" w:space="0" w:color="auto"/>
            </w:tcBorders>
            <w:shd w:val="clear" w:color="auto" w:fill="auto"/>
            <w:noWrap/>
            <w:vAlign w:val="center"/>
            <w:hideMark/>
          </w:tcPr>
          <w:p w:rsidR="00181A91" w:rsidRPr="00A72B7F" w:rsidRDefault="00181A91" w:rsidP="00A72B7F">
            <w:pPr>
              <w:rPr>
                <w:color w:val="000000"/>
                <w:lang w:val="de-AT" w:eastAsia="de-AT"/>
              </w:rPr>
            </w:pPr>
            <w:r w:rsidRPr="00A72B7F">
              <w:rPr>
                <w:color w:val="000000"/>
                <w:lang w:val="de-AT" w:eastAsia="de-AT"/>
              </w:rPr>
              <w:t>Shaheen (2005)</w:t>
            </w:r>
          </w:p>
        </w:tc>
      </w:tr>
      <w:tr w:rsidR="00181A91" w:rsidRPr="00542345" w:rsidTr="00A92145">
        <w:trPr>
          <w:trHeight w:val="7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181A91" w:rsidRPr="00A72B7F" w:rsidRDefault="00181A91" w:rsidP="00A72B7F">
            <w:pPr>
              <w:rPr>
                <w:color w:val="000000"/>
                <w:lang w:val="de-AT" w:eastAsia="de-AT"/>
              </w:rPr>
            </w:pPr>
            <w:r w:rsidRPr="00A72B7F">
              <w:rPr>
                <w:color w:val="000000"/>
                <w:lang w:val="de-AT" w:eastAsia="de-AT"/>
              </w:rPr>
              <w:t>Grass</w:t>
            </w:r>
          </w:p>
        </w:tc>
        <w:tc>
          <w:tcPr>
            <w:tcW w:w="0" w:type="auto"/>
            <w:tcBorders>
              <w:top w:val="nil"/>
              <w:left w:val="nil"/>
              <w:bottom w:val="single" w:sz="4" w:space="0" w:color="auto"/>
              <w:right w:val="single" w:sz="4" w:space="0" w:color="auto"/>
            </w:tcBorders>
            <w:shd w:val="clear" w:color="auto" w:fill="auto"/>
            <w:noWrap/>
            <w:vAlign w:val="center"/>
            <w:hideMark/>
          </w:tcPr>
          <w:p w:rsidR="00181A91" w:rsidRPr="00A72B7F" w:rsidRDefault="00181A91" w:rsidP="00A72B7F">
            <w:pPr>
              <w:rPr>
                <w:color w:val="000000"/>
                <w:lang w:val="de-AT" w:eastAsia="de-AT"/>
              </w:rPr>
            </w:pPr>
            <w:r w:rsidRPr="00A72B7F">
              <w:rPr>
                <w:color w:val="000000"/>
                <w:lang w:val="de-AT" w:eastAsia="de-AT"/>
              </w:rPr>
              <w:t>71%</w:t>
            </w:r>
          </w:p>
        </w:tc>
        <w:tc>
          <w:tcPr>
            <w:tcW w:w="0" w:type="auto"/>
            <w:tcBorders>
              <w:top w:val="nil"/>
              <w:left w:val="nil"/>
              <w:bottom w:val="single" w:sz="4" w:space="0" w:color="auto"/>
              <w:right w:val="single" w:sz="8" w:space="0" w:color="auto"/>
            </w:tcBorders>
            <w:shd w:val="clear" w:color="auto" w:fill="auto"/>
            <w:noWrap/>
            <w:vAlign w:val="center"/>
            <w:hideMark/>
          </w:tcPr>
          <w:p w:rsidR="00181A91" w:rsidRPr="00A72B7F" w:rsidRDefault="00181A91" w:rsidP="00A72B7F">
            <w:pPr>
              <w:rPr>
                <w:color w:val="000000"/>
                <w:lang w:val="de-AT" w:eastAsia="de-AT"/>
              </w:rPr>
            </w:pPr>
            <w:r w:rsidRPr="00A72B7F">
              <w:rPr>
                <w:color w:val="000000"/>
                <w:lang w:val="de-AT" w:eastAsia="de-AT"/>
              </w:rPr>
              <w:t>Levelton (2000)/Fulton et al. 2004</w:t>
            </w:r>
          </w:p>
        </w:tc>
      </w:tr>
      <w:tr w:rsidR="00181A91" w:rsidRPr="00E83F3C" w:rsidTr="00A92145">
        <w:trPr>
          <w:trHeight w:val="14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181A91" w:rsidRPr="00A72B7F" w:rsidRDefault="00181A91" w:rsidP="00A72B7F">
            <w:pPr>
              <w:rPr>
                <w:color w:val="000000"/>
                <w:lang w:val="de-AT" w:eastAsia="de-AT"/>
              </w:rPr>
            </w:pPr>
            <w:r w:rsidRPr="00A72B7F">
              <w:rPr>
                <w:color w:val="000000"/>
                <w:lang w:val="de-AT" w:eastAsia="de-AT"/>
              </w:rPr>
              <w:t>Crop residue (straw)</w:t>
            </w:r>
          </w:p>
        </w:tc>
        <w:tc>
          <w:tcPr>
            <w:tcW w:w="0" w:type="auto"/>
            <w:tcBorders>
              <w:top w:val="nil"/>
              <w:left w:val="nil"/>
              <w:bottom w:val="single" w:sz="4" w:space="0" w:color="auto"/>
              <w:right w:val="single" w:sz="4" w:space="0" w:color="auto"/>
            </w:tcBorders>
            <w:shd w:val="clear" w:color="auto" w:fill="auto"/>
            <w:noWrap/>
            <w:vAlign w:val="center"/>
            <w:hideMark/>
          </w:tcPr>
          <w:p w:rsidR="00181A91" w:rsidRPr="00A72B7F" w:rsidRDefault="00181A91" w:rsidP="00A72B7F">
            <w:pPr>
              <w:rPr>
                <w:color w:val="000000"/>
                <w:lang w:val="de-AT" w:eastAsia="de-AT"/>
              </w:rPr>
            </w:pPr>
            <w:r w:rsidRPr="00A72B7F">
              <w:rPr>
                <w:color w:val="000000"/>
                <w:lang w:val="de-AT" w:eastAsia="de-AT"/>
              </w:rPr>
              <w:t>82%</w:t>
            </w:r>
          </w:p>
        </w:tc>
        <w:tc>
          <w:tcPr>
            <w:tcW w:w="0" w:type="auto"/>
            <w:tcBorders>
              <w:top w:val="nil"/>
              <w:left w:val="nil"/>
              <w:bottom w:val="single" w:sz="4" w:space="0" w:color="auto"/>
              <w:right w:val="single" w:sz="8" w:space="0" w:color="auto"/>
            </w:tcBorders>
            <w:shd w:val="clear" w:color="auto" w:fill="auto"/>
            <w:noWrap/>
            <w:vAlign w:val="center"/>
            <w:hideMark/>
          </w:tcPr>
          <w:p w:rsidR="00181A91" w:rsidRPr="00A72B7F" w:rsidRDefault="00181A91" w:rsidP="00A72B7F">
            <w:pPr>
              <w:rPr>
                <w:color w:val="000000"/>
                <w:lang w:val="es-ES" w:eastAsia="de-AT"/>
              </w:rPr>
            </w:pPr>
            <w:r w:rsidRPr="00A72B7F">
              <w:rPr>
                <w:color w:val="000000"/>
                <w:lang w:val="es-ES" w:eastAsia="de-AT"/>
              </w:rPr>
              <w:t>GM et al. (2002)/Fulton et al. 2004</w:t>
            </w:r>
          </w:p>
        </w:tc>
      </w:tr>
      <w:tr w:rsidR="00181A91" w:rsidRPr="00542345" w:rsidTr="00A92145">
        <w:trPr>
          <w:trHeight w:val="218"/>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181A91" w:rsidRPr="00A72B7F" w:rsidRDefault="00181A91" w:rsidP="00A72B7F">
            <w:pPr>
              <w:rPr>
                <w:color w:val="000000"/>
                <w:lang w:val="de-AT" w:eastAsia="de-AT"/>
              </w:rPr>
            </w:pPr>
            <w:r w:rsidRPr="00A72B7F">
              <w:rPr>
                <w:color w:val="000000"/>
                <w:lang w:val="de-AT" w:eastAsia="de-AT"/>
              </w:rPr>
              <w:t>Crop residue (stover)</w:t>
            </w:r>
          </w:p>
        </w:tc>
        <w:tc>
          <w:tcPr>
            <w:tcW w:w="0" w:type="auto"/>
            <w:tcBorders>
              <w:top w:val="nil"/>
              <w:left w:val="nil"/>
              <w:bottom w:val="single" w:sz="4" w:space="0" w:color="auto"/>
              <w:right w:val="single" w:sz="4" w:space="0" w:color="auto"/>
            </w:tcBorders>
            <w:shd w:val="clear" w:color="auto" w:fill="auto"/>
            <w:noWrap/>
            <w:vAlign w:val="center"/>
            <w:hideMark/>
          </w:tcPr>
          <w:p w:rsidR="00181A91" w:rsidRPr="00A72B7F" w:rsidRDefault="00181A91" w:rsidP="00A72B7F">
            <w:pPr>
              <w:rPr>
                <w:color w:val="000000"/>
                <w:lang w:val="de-AT" w:eastAsia="de-AT"/>
              </w:rPr>
            </w:pPr>
            <w:r w:rsidRPr="00A72B7F">
              <w:rPr>
                <w:color w:val="000000"/>
                <w:lang w:val="de-AT" w:eastAsia="de-AT"/>
              </w:rPr>
              <w:t>61%</w:t>
            </w:r>
          </w:p>
        </w:tc>
        <w:tc>
          <w:tcPr>
            <w:tcW w:w="0" w:type="auto"/>
            <w:tcBorders>
              <w:top w:val="nil"/>
              <w:left w:val="nil"/>
              <w:bottom w:val="single" w:sz="4" w:space="0" w:color="auto"/>
              <w:right w:val="single" w:sz="8" w:space="0" w:color="auto"/>
            </w:tcBorders>
            <w:shd w:val="clear" w:color="auto" w:fill="auto"/>
            <w:noWrap/>
            <w:vAlign w:val="center"/>
            <w:hideMark/>
          </w:tcPr>
          <w:p w:rsidR="00181A91" w:rsidRPr="00A72B7F" w:rsidRDefault="00181A91" w:rsidP="00A72B7F">
            <w:pPr>
              <w:rPr>
                <w:color w:val="000000"/>
                <w:lang w:val="de-AT" w:eastAsia="de-AT"/>
              </w:rPr>
            </w:pPr>
            <w:r w:rsidRPr="00A72B7F">
              <w:rPr>
                <w:color w:val="000000"/>
                <w:lang w:val="de-AT" w:eastAsia="de-AT"/>
              </w:rPr>
              <w:t>Levelton (2000)/Fulton et al. 2004</w:t>
            </w:r>
          </w:p>
        </w:tc>
      </w:tr>
      <w:tr w:rsidR="00181A91" w:rsidRPr="00542345" w:rsidTr="00A92145">
        <w:trPr>
          <w:trHeight w:val="31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181A91" w:rsidRPr="00A72B7F" w:rsidRDefault="00181A91" w:rsidP="00A72B7F">
            <w:pPr>
              <w:rPr>
                <w:color w:val="000000"/>
                <w:lang w:val="de-AT" w:eastAsia="de-AT"/>
              </w:rPr>
            </w:pPr>
            <w:r w:rsidRPr="00A72B7F">
              <w:rPr>
                <w:color w:val="000000"/>
                <w:lang w:val="de-AT" w:eastAsia="de-AT"/>
              </w:rPr>
              <w:t>Hay</w:t>
            </w:r>
          </w:p>
        </w:tc>
        <w:tc>
          <w:tcPr>
            <w:tcW w:w="0" w:type="auto"/>
            <w:tcBorders>
              <w:top w:val="nil"/>
              <w:left w:val="nil"/>
              <w:bottom w:val="single" w:sz="4" w:space="0" w:color="auto"/>
              <w:right w:val="single" w:sz="4" w:space="0" w:color="auto"/>
            </w:tcBorders>
            <w:shd w:val="clear" w:color="auto" w:fill="auto"/>
            <w:noWrap/>
            <w:vAlign w:val="center"/>
            <w:hideMark/>
          </w:tcPr>
          <w:p w:rsidR="00181A91" w:rsidRPr="00A72B7F" w:rsidRDefault="00181A91" w:rsidP="00A72B7F">
            <w:pPr>
              <w:rPr>
                <w:color w:val="000000"/>
                <w:lang w:val="de-AT" w:eastAsia="de-AT"/>
              </w:rPr>
            </w:pPr>
            <w:r w:rsidRPr="00A72B7F">
              <w:rPr>
                <w:color w:val="000000"/>
                <w:lang w:val="de-AT" w:eastAsia="de-AT"/>
              </w:rPr>
              <w:t>68%</w:t>
            </w:r>
          </w:p>
        </w:tc>
        <w:tc>
          <w:tcPr>
            <w:tcW w:w="0" w:type="auto"/>
            <w:tcBorders>
              <w:top w:val="nil"/>
              <w:left w:val="nil"/>
              <w:bottom w:val="single" w:sz="4" w:space="0" w:color="auto"/>
              <w:right w:val="single" w:sz="8" w:space="0" w:color="auto"/>
            </w:tcBorders>
            <w:shd w:val="clear" w:color="auto" w:fill="auto"/>
            <w:noWrap/>
            <w:vAlign w:val="center"/>
            <w:hideMark/>
          </w:tcPr>
          <w:p w:rsidR="00181A91" w:rsidRPr="00A72B7F" w:rsidRDefault="00181A91" w:rsidP="00A72B7F">
            <w:pPr>
              <w:rPr>
                <w:color w:val="000000"/>
                <w:lang w:val="de-AT" w:eastAsia="de-AT"/>
              </w:rPr>
            </w:pPr>
            <w:r w:rsidRPr="00A72B7F">
              <w:rPr>
                <w:color w:val="000000"/>
                <w:lang w:val="de-AT" w:eastAsia="de-AT"/>
              </w:rPr>
              <w:t>Levelton (2000)/Fulton et al. 2004</w:t>
            </w:r>
          </w:p>
        </w:tc>
      </w:tr>
      <w:tr w:rsidR="00181A91" w:rsidRPr="00542345" w:rsidTr="00A92145">
        <w:trPr>
          <w:trHeight w:val="286"/>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181A91" w:rsidRPr="00A72B7F" w:rsidRDefault="00181A91" w:rsidP="00A72B7F">
            <w:pPr>
              <w:rPr>
                <w:color w:val="000000"/>
                <w:lang w:val="de-AT" w:eastAsia="de-AT"/>
              </w:rPr>
            </w:pPr>
            <w:r w:rsidRPr="00A72B7F">
              <w:rPr>
                <w:color w:val="000000"/>
                <w:lang w:val="de-AT" w:eastAsia="de-AT"/>
              </w:rPr>
              <w:t>Wheat straw</w:t>
            </w:r>
          </w:p>
        </w:tc>
        <w:tc>
          <w:tcPr>
            <w:tcW w:w="0" w:type="auto"/>
            <w:tcBorders>
              <w:top w:val="nil"/>
              <w:left w:val="nil"/>
              <w:bottom w:val="single" w:sz="4" w:space="0" w:color="auto"/>
              <w:right w:val="single" w:sz="4" w:space="0" w:color="auto"/>
            </w:tcBorders>
            <w:shd w:val="clear" w:color="auto" w:fill="auto"/>
            <w:noWrap/>
            <w:vAlign w:val="center"/>
            <w:hideMark/>
          </w:tcPr>
          <w:p w:rsidR="00181A91" w:rsidRPr="00A72B7F" w:rsidRDefault="00181A91" w:rsidP="00A72B7F">
            <w:pPr>
              <w:rPr>
                <w:color w:val="000000"/>
                <w:lang w:val="de-AT" w:eastAsia="de-AT"/>
              </w:rPr>
            </w:pPr>
            <w:r w:rsidRPr="00A72B7F">
              <w:rPr>
                <w:color w:val="000000"/>
                <w:lang w:val="de-AT" w:eastAsia="de-AT"/>
              </w:rPr>
              <w:t>57%</w:t>
            </w:r>
          </w:p>
        </w:tc>
        <w:tc>
          <w:tcPr>
            <w:tcW w:w="0" w:type="auto"/>
            <w:tcBorders>
              <w:top w:val="nil"/>
              <w:left w:val="nil"/>
              <w:bottom w:val="single" w:sz="4" w:space="0" w:color="auto"/>
              <w:right w:val="single" w:sz="8" w:space="0" w:color="auto"/>
            </w:tcBorders>
            <w:shd w:val="clear" w:color="auto" w:fill="auto"/>
            <w:noWrap/>
            <w:vAlign w:val="center"/>
            <w:hideMark/>
          </w:tcPr>
          <w:p w:rsidR="00181A91" w:rsidRPr="00A72B7F" w:rsidRDefault="00181A91" w:rsidP="00A72B7F">
            <w:pPr>
              <w:rPr>
                <w:color w:val="000000"/>
                <w:lang w:val="de-AT" w:eastAsia="de-AT"/>
              </w:rPr>
            </w:pPr>
            <w:r w:rsidRPr="00A72B7F">
              <w:rPr>
                <w:color w:val="000000"/>
                <w:lang w:val="de-AT" w:eastAsia="de-AT"/>
              </w:rPr>
              <w:t>Levelton (2000)/Fulton et al. 2004</w:t>
            </w:r>
          </w:p>
        </w:tc>
      </w:tr>
      <w:tr w:rsidR="00181A91" w:rsidRPr="00542345" w:rsidTr="00A92145">
        <w:trPr>
          <w:trHeight w:val="262"/>
          <w:jc w:val="center"/>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rsidR="00181A91" w:rsidRPr="00A72B7F" w:rsidRDefault="00181A91" w:rsidP="00A72B7F">
            <w:pPr>
              <w:rPr>
                <w:color w:val="000000"/>
                <w:lang w:val="de-AT" w:eastAsia="de-AT"/>
              </w:rPr>
            </w:pPr>
            <w:r w:rsidRPr="00A72B7F">
              <w:rPr>
                <w:color w:val="000000"/>
                <w:lang w:val="de-AT" w:eastAsia="de-AT"/>
              </w:rPr>
              <w:t>Corn stover</w:t>
            </w:r>
          </w:p>
        </w:tc>
        <w:tc>
          <w:tcPr>
            <w:tcW w:w="0" w:type="auto"/>
            <w:tcBorders>
              <w:top w:val="nil"/>
              <w:left w:val="nil"/>
              <w:bottom w:val="single" w:sz="8" w:space="0" w:color="auto"/>
              <w:right w:val="single" w:sz="4" w:space="0" w:color="auto"/>
            </w:tcBorders>
            <w:shd w:val="clear" w:color="auto" w:fill="auto"/>
            <w:noWrap/>
            <w:vAlign w:val="center"/>
            <w:hideMark/>
          </w:tcPr>
          <w:p w:rsidR="00181A91" w:rsidRPr="00A72B7F" w:rsidRDefault="00181A91" w:rsidP="00A72B7F">
            <w:pPr>
              <w:rPr>
                <w:color w:val="000000"/>
                <w:lang w:val="de-AT" w:eastAsia="de-AT"/>
              </w:rPr>
            </w:pPr>
            <w:r w:rsidRPr="00A72B7F">
              <w:rPr>
                <w:color w:val="000000"/>
                <w:lang w:val="de-AT" w:eastAsia="de-AT"/>
              </w:rPr>
              <w:t>84% (CO2)</w:t>
            </w:r>
          </w:p>
        </w:tc>
        <w:tc>
          <w:tcPr>
            <w:tcW w:w="0" w:type="auto"/>
            <w:tcBorders>
              <w:top w:val="nil"/>
              <w:left w:val="nil"/>
              <w:bottom w:val="single" w:sz="8" w:space="0" w:color="auto"/>
              <w:right w:val="single" w:sz="8" w:space="0" w:color="auto"/>
            </w:tcBorders>
            <w:shd w:val="clear" w:color="auto" w:fill="auto"/>
            <w:noWrap/>
            <w:vAlign w:val="center"/>
            <w:hideMark/>
          </w:tcPr>
          <w:p w:rsidR="00181A91" w:rsidRPr="00A72B7F" w:rsidRDefault="00181A91" w:rsidP="00A72B7F">
            <w:pPr>
              <w:rPr>
                <w:color w:val="000000"/>
                <w:lang w:val="de-AT" w:eastAsia="de-AT"/>
              </w:rPr>
            </w:pPr>
            <w:r w:rsidRPr="00A72B7F">
              <w:rPr>
                <w:color w:val="000000"/>
                <w:lang w:val="de-AT" w:eastAsia="de-AT"/>
              </w:rPr>
              <w:t>Shaheen (2005)</w:t>
            </w:r>
          </w:p>
        </w:tc>
      </w:tr>
    </w:tbl>
    <w:p w:rsidR="002C4350" w:rsidRDefault="002C4350" w:rsidP="0094552C">
      <w:pPr>
        <w:pStyle w:val="Beschriftung"/>
        <w:jc w:val="center"/>
        <w:rPr>
          <w:color w:val="auto"/>
        </w:rPr>
      </w:pPr>
    </w:p>
    <w:p w:rsidR="0094552C" w:rsidRPr="0094552C" w:rsidRDefault="0094552C" w:rsidP="0094552C">
      <w:pPr>
        <w:pStyle w:val="Beschriftung"/>
        <w:jc w:val="center"/>
        <w:rPr>
          <w:color w:val="auto"/>
        </w:rPr>
      </w:pPr>
      <w:bookmarkStart w:id="12" w:name="_Toc294468953"/>
      <w:r w:rsidRPr="0094552C">
        <w:rPr>
          <w:color w:val="auto"/>
        </w:rPr>
        <w:t xml:space="preserve">Table </w:t>
      </w:r>
      <w:r w:rsidR="002A0101" w:rsidRPr="0094552C">
        <w:rPr>
          <w:color w:val="auto"/>
        </w:rPr>
        <w:fldChar w:fldCharType="begin"/>
      </w:r>
      <w:r w:rsidRPr="0094552C">
        <w:rPr>
          <w:color w:val="auto"/>
        </w:rPr>
        <w:instrText xml:space="preserve"> SEQ Table \* ARABIC </w:instrText>
      </w:r>
      <w:r w:rsidR="002A0101" w:rsidRPr="0094552C">
        <w:rPr>
          <w:color w:val="auto"/>
        </w:rPr>
        <w:fldChar w:fldCharType="separate"/>
      </w:r>
      <w:r w:rsidR="00CD2294">
        <w:rPr>
          <w:noProof/>
          <w:color w:val="auto"/>
        </w:rPr>
        <w:t>2</w:t>
      </w:r>
      <w:r w:rsidR="002A0101" w:rsidRPr="0094552C">
        <w:rPr>
          <w:color w:val="auto"/>
        </w:rPr>
        <w:fldChar w:fldCharType="end"/>
      </w:r>
      <w:r w:rsidR="002C4350">
        <w:rPr>
          <w:color w:val="auto"/>
        </w:rPr>
        <w:t>:</w:t>
      </w:r>
      <w:r w:rsidRPr="0094552C">
        <w:rPr>
          <w:color w:val="auto"/>
          <w:lang w:val="en-US" w:eastAsia="de-AT"/>
        </w:rPr>
        <w:t xml:space="preserve"> of estimates of GHG mitigation potential of Ethanol</w:t>
      </w:r>
      <w:r w:rsidR="00EA4BA0">
        <w:rPr>
          <w:rStyle w:val="Funotenzeichen"/>
          <w:color w:val="auto"/>
          <w:lang w:val="en-US" w:eastAsia="de-AT"/>
        </w:rPr>
        <w:footnoteReference w:id="16"/>
      </w:r>
      <w:bookmarkEnd w:id="12"/>
    </w:p>
    <w:p w:rsidR="00391FA8" w:rsidRDefault="00391FA8" w:rsidP="00181A91"/>
    <w:p w:rsidR="00181A91" w:rsidRPr="000271B6" w:rsidRDefault="00181A91" w:rsidP="000271B6">
      <w:r>
        <w:t xml:space="preserve">The impact of biofuel-production on the atmosphere varies with </w:t>
      </w:r>
      <w:r w:rsidR="000271B6">
        <w:t>t</w:t>
      </w:r>
      <w:r>
        <w:t>he way of conversion</w:t>
      </w:r>
      <w:r w:rsidR="000271B6">
        <w:t>, t</w:t>
      </w:r>
      <w:r>
        <w:t>he choice of land (e.g. soil, climate, crop management) and</w:t>
      </w:r>
      <w:r w:rsidR="000271B6">
        <w:t xml:space="preserve"> </w:t>
      </w:r>
      <w:r>
        <w:t>t</w:t>
      </w:r>
      <w:r w:rsidR="0004533E">
        <w:t>he kind of feedstock used (</w:t>
      </w:r>
      <w:r w:rsidR="00D411C8">
        <w:t>Eisentraut</w:t>
      </w:r>
      <w:r>
        <w:t xml:space="preserve"> 2010)</w:t>
      </w:r>
    </w:p>
    <w:p w:rsidR="0094552C" w:rsidRDefault="00181A91" w:rsidP="0094552C">
      <w:pPr>
        <w:pStyle w:val="Bildbeschriftung"/>
      </w:pPr>
      <w:r>
        <w:rPr>
          <w:rFonts w:cs="Arial"/>
          <w:noProof/>
          <w:lang w:val="de-AT" w:eastAsia="de-AT"/>
        </w:rPr>
        <w:lastRenderedPageBreak/>
        <w:drawing>
          <wp:inline distT="0" distB="0" distL="0" distR="0">
            <wp:extent cx="4999064" cy="2540474"/>
            <wp:effectExtent l="1905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srcRect/>
                    <a:stretch>
                      <a:fillRect/>
                    </a:stretch>
                  </pic:blipFill>
                  <pic:spPr bwMode="auto">
                    <a:xfrm>
                      <a:off x="0" y="0"/>
                      <a:ext cx="5005419" cy="2543704"/>
                    </a:xfrm>
                    <a:prstGeom prst="rect">
                      <a:avLst/>
                    </a:prstGeom>
                    <a:noFill/>
                    <a:ln w="9525">
                      <a:noFill/>
                      <a:miter lim="800000"/>
                      <a:headEnd/>
                      <a:tailEnd/>
                    </a:ln>
                  </pic:spPr>
                </pic:pic>
              </a:graphicData>
            </a:graphic>
          </wp:inline>
        </w:drawing>
      </w:r>
    </w:p>
    <w:p w:rsidR="00181A91" w:rsidRPr="0094552C" w:rsidRDefault="0094552C" w:rsidP="0094552C">
      <w:pPr>
        <w:pStyle w:val="Beschriftung"/>
        <w:jc w:val="center"/>
        <w:rPr>
          <w:rFonts w:cs="Arial"/>
          <w:color w:val="auto"/>
          <w:lang w:val="en-US"/>
        </w:rPr>
      </w:pPr>
      <w:bookmarkStart w:id="13" w:name="_Toc294469006"/>
      <w:r w:rsidRPr="0094552C">
        <w:rPr>
          <w:color w:val="auto"/>
        </w:rPr>
        <w:t xml:space="preserve">Figure </w:t>
      </w:r>
      <w:r w:rsidR="002A0101" w:rsidRPr="0094552C">
        <w:rPr>
          <w:color w:val="auto"/>
        </w:rPr>
        <w:fldChar w:fldCharType="begin"/>
      </w:r>
      <w:r w:rsidRPr="0094552C">
        <w:rPr>
          <w:color w:val="auto"/>
        </w:rPr>
        <w:instrText xml:space="preserve"> SEQ Figure \* ARABIC </w:instrText>
      </w:r>
      <w:r w:rsidR="002A0101" w:rsidRPr="0094552C">
        <w:rPr>
          <w:color w:val="auto"/>
        </w:rPr>
        <w:fldChar w:fldCharType="separate"/>
      </w:r>
      <w:r w:rsidR="00904569">
        <w:rPr>
          <w:noProof/>
          <w:color w:val="auto"/>
        </w:rPr>
        <w:t>5</w:t>
      </w:r>
      <w:r w:rsidR="002A0101" w:rsidRPr="0094552C">
        <w:rPr>
          <w:color w:val="auto"/>
        </w:rPr>
        <w:fldChar w:fldCharType="end"/>
      </w:r>
      <w:r w:rsidR="002C4350">
        <w:rPr>
          <w:color w:val="auto"/>
        </w:rPr>
        <w:t>:</w:t>
      </w:r>
      <w:r w:rsidRPr="0094552C">
        <w:rPr>
          <w:color w:val="auto"/>
        </w:rPr>
        <w:t xml:space="preserve"> Comparison of well-to-wheel emission changes of different biofuels compared to fossil fuel</w:t>
      </w:r>
      <w:bookmarkEnd w:id="13"/>
    </w:p>
    <w:p w:rsidR="00181A91" w:rsidRPr="00391FA8" w:rsidRDefault="00181A91" w:rsidP="007139D2">
      <w:pPr>
        <w:pStyle w:val="berschrift3"/>
        <w:rPr>
          <w:lang w:val="en-US"/>
        </w:rPr>
      </w:pPr>
      <w:bookmarkStart w:id="14" w:name="_Toc294469069"/>
      <w:r w:rsidRPr="00391FA8">
        <w:rPr>
          <w:lang w:val="en-US"/>
        </w:rPr>
        <w:t>Efficiency of 2</w:t>
      </w:r>
      <w:r w:rsidRPr="00391FA8">
        <w:rPr>
          <w:vertAlign w:val="superscript"/>
          <w:lang w:val="en-US"/>
        </w:rPr>
        <w:t>nd</w:t>
      </w:r>
      <w:r w:rsidRPr="00391FA8">
        <w:rPr>
          <w:lang w:val="en-US"/>
        </w:rPr>
        <w:t xml:space="preserve"> generation biofuels</w:t>
      </w:r>
      <w:bookmarkEnd w:id="14"/>
      <w:r w:rsidRPr="00391FA8">
        <w:rPr>
          <w:lang w:val="en-US"/>
        </w:rPr>
        <w:t xml:space="preserve"> </w:t>
      </w:r>
    </w:p>
    <w:p w:rsidR="00181A91" w:rsidRPr="007101E2" w:rsidRDefault="00181A91" w:rsidP="00181A91">
      <w:r>
        <w:t>For cultivation of feedstocks for fuels of the second generation not</w:t>
      </w:r>
      <w:r w:rsidRPr="00DD77E1">
        <w:t xml:space="preserve"> </w:t>
      </w:r>
      <w:r>
        <w:t>each region of the world is equally suitable. In an cooperative assessment of FAO and IIASA</w:t>
      </w:r>
      <w:r>
        <w:rPr>
          <w:rStyle w:val="Funotenzeichen"/>
        </w:rPr>
        <w:footnoteReference w:id="17"/>
      </w:r>
      <w:r>
        <w:t xml:space="preserve"> it was found out that about 3 billion hectares (or 40% of the world’s combined cultivated land, unprotected grassland, woodland and unprotected forestland) have potential for high yields of lingo-cellulosic feedstock. The assessment was conducted for herbaceous</w:t>
      </w:r>
      <w:r>
        <w:rPr>
          <w:rStyle w:val="Funotenzeichen"/>
        </w:rPr>
        <w:footnoteReference w:id="18"/>
      </w:r>
      <w:r>
        <w:t xml:space="preserve"> and woody cellulosic</w:t>
      </w:r>
      <w:r>
        <w:rPr>
          <w:rStyle w:val="Funotenzeichen"/>
        </w:rPr>
        <w:footnoteReference w:id="19"/>
      </w:r>
      <w:r>
        <w:t xml:space="preserve"> feedstock and shows that South America accounts with 76% or almost 1 billion hectares of the world’s total suitable land as most suitable region. Of the unprotected grasslands and woodlands alone world-wide 25% or about 860 million hectares would be suitable for the production of lingo</w:t>
      </w:r>
      <w:r w:rsidR="0004533E">
        <w:t>-cellulosic feedstocks. (Fischer, Hizsnyik 2009, p.124</w:t>
      </w:r>
      <w:r>
        <w:t>)</w:t>
      </w:r>
    </w:p>
    <w:p w:rsidR="005130E4" w:rsidRDefault="00181A91" w:rsidP="005130E4">
      <w:pPr>
        <w:jc w:val="center"/>
      </w:pPr>
      <w:r>
        <w:rPr>
          <w:noProof/>
          <w:lang w:val="de-AT" w:eastAsia="de-AT"/>
        </w:rPr>
        <w:drawing>
          <wp:inline distT="0" distB="0" distL="0" distR="0">
            <wp:extent cx="6193790" cy="2432685"/>
            <wp:effectExtent l="1905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srcRect/>
                    <a:stretch>
                      <a:fillRect/>
                    </a:stretch>
                  </pic:blipFill>
                  <pic:spPr bwMode="auto">
                    <a:xfrm>
                      <a:off x="0" y="0"/>
                      <a:ext cx="6193790" cy="2432685"/>
                    </a:xfrm>
                    <a:prstGeom prst="rect">
                      <a:avLst/>
                    </a:prstGeom>
                    <a:noFill/>
                    <a:ln w="9525">
                      <a:noFill/>
                      <a:miter lim="800000"/>
                      <a:headEnd/>
                      <a:tailEnd/>
                    </a:ln>
                  </pic:spPr>
                </pic:pic>
              </a:graphicData>
            </a:graphic>
          </wp:inline>
        </w:drawing>
      </w:r>
    </w:p>
    <w:p w:rsidR="00181A91" w:rsidRPr="005130E4" w:rsidRDefault="005130E4" w:rsidP="005130E4">
      <w:pPr>
        <w:pStyle w:val="Beschriftung"/>
        <w:jc w:val="center"/>
        <w:rPr>
          <w:color w:val="auto"/>
        </w:rPr>
      </w:pPr>
      <w:bookmarkStart w:id="15" w:name="_Toc294469007"/>
      <w:r w:rsidRPr="005130E4">
        <w:rPr>
          <w:color w:val="auto"/>
        </w:rPr>
        <w:t xml:space="preserve">Figure </w:t>
      </w:r>
      <w:r w:rsidR="002A0101" w:rsidRPr="005130E4">
        <w:rPr>
          <w:color w:val="auto"/>
        </w:rPr>
        <w:fldChar w:fldCharType="begin"/>
      </w:r>
      <w:r w:rsidRPr="005130E4">
        <w:rPr>
          <w:color w:val="auto"/>
        </w:rPr>
        <w:instrText xml:space="preserve"> SEQ Figure \* ARABIC </w:instrText>
      </w:r>
      <w:r w:rsidR="002A0101" w:rsidRPr="005130E4">
        <w:rPr>
          <w:color w:val="auto"/>
        </w:rPr>
        <w:fldChar w:fldCharType="separate"/>
      </w:r>
      <w:r w:rsidR="00904569">
        <w:rPr>
          <w:noProof/>
          <w:color w:val="auto"/>
        </w:rPr>
        <w:t>6</w:t>
      </w:r>
      <w:r w:rsidR="002A0101" w:rsidRPr="005130E4">
        <w:rPr>
          <w:color w:val="auto"/>
        </w:rPr>
        <w:fldChar w:fldCharType="end"/>
      </w:r>
      <w:r w:rsidR="002C4350">
        <w:rPr>
          <w:color w:val="auto"/>
        </w:rPr>
        <w:t>:</w:t>
      </w:r>
      <w:r w:rsidRPr="005130E4">
        <w:rPr>
          <w:color w:val="auto"/>
        </w:rPr>
        <w:t xml:space="preserve"> Global land suitability for second-generation feedstocks (herbaceous and woody lignocellulosic plant species)</w:t>
      </w:r>
      <w:r w:rsidR="00EA4BA0">
        <w:rPr>
          <w:rStyle w:val="Funotenzeichen"/>
          <w:color w:val="auto"/>
        </w:rPr>
        <w:footnoteReference w:id="20"/>
      </w:r>
      <w:bookmarkEnd w:id="15"/>
    </w:p>
    <w:p w:rsidR="00181A91" w:rsidRPr="007101E2" w:rsidRDefault="00181A91" w:rsidP="00181A91">
      <w:r w:rsidRPr="007101E2">
        <w:lastRenderedPageBreak/>
        <w:t xml:space="preserve">Potentials of biofuels concerning economic growth, oil substitution and air pollution are limited due to competing land and water resources for </w:t>
      </w:r>
      <w:r w:rsidR="003B00F3" w:rsidRPr="003B00F3">
        <w:t>(Sims, Mabee et al. 2009)</w:t>
      </w:r>
      <w:r w:rsidR="003B00F3">
        <w:t>:</w:t>
      </w:r>
    </w:p>
    <w:p w:rsidR="00181A91" w:rsidRPr="007101E2" w:rsidRDefault="00181A91" w:rsidP="002C4350">
      <w:pPr>
        <w:pStyle w:val="Abbildungsverzeichnis"/>
        <w:numPr>
          <w:ilvl w:val="0"/>
          <w:numId w:val="41"/>
        </w:numPr>
      </w:pPr>
      <w:r w:rsidRPr="007101E2">
        <w:t>high subsidies by governments as long as the oil price is low – biofuels have much higher processing and production costs</w:t>
      </w:r>
    </w:p>
    <w:p w:rsidR="00181A91" w:rsidRPr="003B00F3" w:rsidRDefault="00181A91" w:rsidP="00181A91">
      <w:pPr>
        <w:pStyle w:val="berschriftklein"/>
        <w:numPr>
          <w:ilvl w:val="0"/>
          <w:numId w:val="41"/>
        </w:numPr>
        <w:spacing w:line="276" w:lineRule="auto"/>
        <w:rPr>
          <w:sz w:val="22"/>
          <w:szCs w:val="22"/>
        </w:rPr>
      </w:pPr>
      <w:r w:rsidRPr="007101E2">
        <w:rPr>
          <w:sz w:val="22"/>
          <w:szCs w:val="22"/>
        </w:rPr>
        <w:t>GHG emission balance, when making land available for cultivation of food crops/ energy crops</w:t>
      </w:r>
      <w:r w:rsidR="003B00F3">
        <w:rPr>
          <w:sz w:val="22"/>
          <w:szCs w:val="22"/>
        </w:rPr>
        <w:t xml:space="preserve"> </w:t>
      </w:r>
    </w:p>
    <w:p w:rsidR="009333AE" w:rsidRDefault="00D610E7" w:rsidP="007139D2">
      <w:pPr>
        <w:pStyle w:val="berschrift2"/>
      </w:pPr>
      <w:bookmarkStart w:id="16" w:name="_Toc294469070"/>
      <w:r>
        <w:t xml:space="preserve">EU </w:t>
      </w:r>
      <w:r w:rsidR="00456528">
        <w:t>legislation</w:t>
      </w:r>
      <w:bookmarkEnd w:id="16"/>
    </w:p>
    <w:p w:rsidR="00D254F2" w:rsidRDefault="00D610E7" w:rsidP="00D610E7">
      <w:pPr>
        <w:rPr>
          <w:bCs/>
          <w:lang w:eastAsia="en-GB"/>
        </w:rPr>
      </w:pPr>
      <w:r w:rsidRPr="007101E2">
        <w:rPr>
          <w:bCs/>
          <w:lang w:eastAsia="en-GB"/>
        </w:rPr>
        <w:t xml:space="preserve">Like in </w:t>
      </w:r>
      <w:r w:rsidR="003B00F3">
        <w:rPr>
          <w:bCs/>
          <w:lang w:eastAsia="en-GB"/>
        </w:rPr>
        <w:t>the</w:t>
      </w:r>
      <w:r w:rsidRPr="007101E2">
        <w:rPr>
          <w:bCs/>
          <w:lang w:eastAsia="en-GB"/>
        </w:rPr>
        <w:t xml:space="preserve"> Czech Rep.</w:t>
      </w:r>
      <w:r w:rsidR="003B00F3">
        <w:rPr>
          <w:bCs/>
          <w:lang w:eastAsia="en-GB"/>
        </w:rPr>
        <w:t xml:space="preserve"> and Austria</w:t>
      </w:r>
      <w:r w:rsidRPr="007101E2">
        <w:rPr>
          <w:bCs/>
          <w:lang w:eastAsia="en-GB"/>
        </w:rPr>
        <w:t xml:space="preserve"> the European Union is confronted with </w:t>
      </w:r>
      <w:r>
        <w:rPr>
          <w:bCs/>
          <w:lang w:eastAsia="en-GB"/>
        </w:rPr>
        <w:t>similar</w:t>
      </w:r>
      <w:r w:rsidRPr="007101E2">
        <w:rPr>
          <w:bCs/>
          <w:lang w:eastAsia="en-GB"/>
        </w:rPr>
        <w:t xml:space="preserve"> problems as its individual member states. In total 98% fossil fuels are imported from countries in politically unstable regions of the world </w:t>
      </w:r>
      <w:r>
        <w:rPr>
          <w:bCs/>
          <w:lang w:eastAsia="en-GB"/>
        </w:rPr>
        <w:t>which</w:t>
      </w:r>
      <w:r w:rsidRPr="007101E2">
        <w:rPr>
          <w:bCs/>
          <w:lang w:eastAsia="en-GB"/>
        </w:rPr>
        <w:t xml:space="preserve"> perils energy and fuel supply. Therefore the EU set targets for its member states for the next years to </w:t>
      </w:r>
      <w:r>
        <w:rPr>
          <w:bCs/>
          <w:lang w:eastAsia="en-GB"/>
        </w:rPr>
        <w:t>achieve</w:t>
      </w:r>
      <w:r w:rsidRPr="007101E2">
        <w:rPr>
          <w:bCs/>
          <w:lang w:eastAsia="en-GB"/>
        </w:rPr>
        <w:t xml:space="preserve"> more energy supply security, reduce CO</w:t>
      </w:r>
      <w:r w:rsidRPr="007101E2">
        <w:rPr>
          <w:bCs/>
          <w:lang w:eastAsia="en-GB"/>
        </w:rPr>
        <w:softHyphen/>
      </w:r>
      <w:r w:rsidRPr="007101E2">
        <w:rPr>
          <w:bCs/>
          <w:vertAlign w:val="subscript"/>
          <w:lang w:eastAsia="en-GB"/>
        </w:rPr>
        <w:t>2</w:t>
      </w:r>
      <w:r w:rsidRPr="007101E2">
        <w:rPr>
          <w:bCs/>
          <w:lang w:eastAsia="en-GB"/>
        </w:rPr>
        <w:t>-emissions to meet the Kyoto Protocol goals and to achieve more competitiveness. These targ</w:t>
      </w:r>
      <w:r>
        <w:rPr>
          <w:bCs/>
          <w:lang w:eastAsia="en-GB"/>
        </w:rPr>
        <w:t xml:space="preserve">ets are demonstrated in three main directives of the EU and several other policies: </w:t>
      </w:r>
    </w:p>
    <w:p w:rsidR="003B00F3" w:rsidRDefault="00D610E7" w:rsidP="00D610E7">
      <w:r w:rsidRPr="00A13409">
        <w:rPr>
          <w:bCs/>
          <w:u w:val="single"/>
          <w:lang w:eastAsia="en-GB"/>
        </w:rPr>
        <w:t>EU Directive 2003/30/EC</w:t>
      </w:r>
      <w:r w:rsidRPr="007101E2">
        <w:rPr>
          <w:bCs/>
          <w:lang w:eastAsia="en-GB"/>
        </w:rPr>
        <w:t xml:space="preserve"> </w:t>
      </w:r>
      <w:r>
        <w:t xml:space="preserve">promotes </w:t>
      </w:r>
      <w:r w:rsidRPr="007101E2">
        <w:t>the use of biofuels (1</w:t>
      </w:r>
      <w:r w:rsidRPr="007101E2">
        <w:rPr>
          <w:vertAlign w:val="superscript"/>
        </w:rPr>
        <w:t>st</w:t>
      </w:r>
      <w:r w:rsidRPr="007101E2">
        <w:t xml:space="preserve"> and 2</w:t>
      </w:r>
      <w:r w:rsidRPr="007101E2">
        <w:rPr>
          <w:vertAlign w:val="superscript"/>
        </w:rPr>
        <w:t>nd</w:t>
      </w:r>
      <w:r w:rsidRPr="007101E2">
        <w:t xml:space="preserve"> generation) or other renewable fuels (electricity, hydrogen…) for transport</w:t>
      </w:r>
      <w:r>
        <w:t>. It stipulates</w:t>
      </w:r>
      <w:r w:rsidRPr="007101E2">
        <w:t xml:space="preserve"> substitution of conventional fuels for biofuels until 31.12.2010 of minimum 5.75% (20.7mio t/a) and 31.12.2020 of minimum 10%. (</w:t>
      </w:r>
      <w:r w:rsidR="003B00F3" w:rsidRPr="003B00F3">
        <w:t xml:space="preserve">Biofuels Research Advisory Council </w:t>
      </w:r>
      <w:r w:rsidR="003B00F3">
        <w:t>2006</w:t>
      </w:r>
      <w:r w:rsidRPr="007101E2">
        <w:t>)</w:t>
      </w:r>
      <w:r w:rsidR="0094552C">
        <w:t xml:space="preserve"> </w:t>
      </w:r>
    </w:p>
    <w:p w:rsidR="00D610E7" w:rsidRDefault="00D610E7" w:rsidP="00D610E7">
      <w:r w:rsidRPr="00A13409">
        <w:rPr>
          <w:u w:val="single"/>
        </w:rPr>
        <w:t>Directive 2003/96/EC</w:t>
      </w:r>
      <w:r>
        <w:t xml:space="preserve"> regulates the application of tax incentives for biofuels. Each member state can set its individual taxation for biofuels but has to present it to the European Commission for authorization. This provides that distortion of competition prevails on an acceptable level. In </w:t>
      </w:r>
      <w:r w:rsidRPr="00A13409">
        <w:rPr>
          <w:u w:val="single"/>
        </w:rPr>
        <w:t>Directive 2003/17/EC</w:t>
      </w:r>
      <w:r>
        <w:t xml:space="preserve"> (amending Directive 98/70/EC) environmental specification for fuels are concerned. The Directive contains a 5% limit on ethanol blen</w:t>
      </w:r>
      <w:r w:rsidR="003B00F3">
        <w:t xml:space="preserve">ding for environmental reasons. </w:t>
      </w:r>
      <w:r>
        <w:t xml:space="preserve">The “health check” of the </w:t>
      </w:r>
      <w:r w:rsidRPr="00B0441E">
        <w:rPr>
          <w:u w:val="single"/>
        </w:rPr>
        <w:t>CAP-policy</w:t>
      </w:r>
      <w:r>
        <w:t xml:space="preserve"> (Common Agricultural Policy) lead to abolition of compulsory set-aside land in 2009 because of the tight situation on the cereal market, which makes more land available for cultivation of food crops and energy crops. 2003 an energy crop premium was introduced but was also abolished in 2009 as a result of the “health check”. It is expected that biofuel production will continue growing, due to high governmental targets even without EU-support. </w:t>
      </w:r>
    </w:p>
    <w:p w:rsidR="00D610E7" w:rsidRDefault="00D610E7" w:rsidP="00D610E7">
      <w:r>
        <w:t>On 23</w:t>
      </w:r>
      <w:r w:rsidRPr="00CA1FFE">
        <w:rPr>
          <w:vertAlign w:val="superscript"/>
        </w:rPr>
        <w:t>rd</w:t>
      </w:r>
      <w:r>
        <w:t xml:space="preserve"> of January 2008 the </w:t>
      </w:r>
      <w:r w:rsidRPr="00B0441E">
        <w:rPr>
          <w:u w:val="single"/>
        </w:rPr>
        <w:t>Renewable Energy Directive</w:t>
      </w:r>
      <w:r>
        <w:t xml:space="preserve"> (RED) was presented in the Energy Policy Package as a part of the 20-20-20 goals of the European Union. It consists of a binding minimum target of 10% of overall EU consumption in all forms of transport being substituted by renewable energy such as biofuels, electricity and hydrogen from renewable resources. It should also ensure sustainable production, commercialization of 2</w:t>
      </w:r>
      <w:r w:rsidRPr="00CA1FFE">
        <w:rPr>
          <w:vertAlign w:val="superscript"/>
        </w:rPr>
        <w:t>nd</w:t>
      </w:r>
      <w:r>
        <w:t xml:space="preserve"> generation biofuels. Biofuels have to save at least 35% of GHG emissions compared to fossil fuels provided that indirect land-use change is not the case. Some support for biofuel production also comes from the </w:t>
      </w:r>
      <w:r w:rsidRPr="00B0441E">
        <w:rPr>
          <w:u w:val="single"/>
        </w:rPr>
        <w:t>rural development policy</w:t>
      </w:r>
      <w:r>
        <w:t>. (</w:t>
      </w:r>
      <w:r w:rsidR="00813B7E">
        <w:rPr>
          <w:lang w:val="en-US"/>
        </w:rPr>
        <w:t>Fischer, Hizsnyik et al.</w:t>
      </w:r>
      <w:r>
        <w:t xml:space="preserve"> 2009)</w:t>
      </w:r>
    </w:p>
    <w:p w:rsidR="009333AE" w:rsidRPr="004558EF" w:rsidRDefault="007139D2" w:rsidP="007139D2">
      <w:pPr>
        <w:pStyle w:val="berschrift2"/>
      </w:pPr>
      <w:bookmarkStart w:id="17" w:name="_Toc294469071"/>
      <w:r>
        <w:t>F</w:t>
      </w:r>
      <w:r w:rsidR="009333AE" w:rsidRPr="004558EF">
        <w:t>ood crisis</w:t>
      </w:r>
      <w:bookmarkEnd w:id="17"/>
    </w:p>
    <w:p w:rsidR="000078B5" w:rsidRPr="000078B5" w:rsidRDefault="000078B5" w:rsidP="00D610E7">
      <w:pPr>
        <w:rPr>
          <w:lang w:val="en-US"/>
        </w:rPr>
      </w:pPr>
      <w:r w:rsidRPr="000078B5">
        <w:rPr>
          <w:lang w:val="en-US"/>
        </w:rPr>
        <w:t xml:space="preserve">2008 was the year when the first time the inter-linkages of food and energy was noticed in a painful way. In only a few weeks staple food prices rose more than 50% above their usual level in some countries, causing food riots from Mexico to Haiti to Mauritania to Egypt and Bangladesh. It is said that these increases of domestic food prices resulted in a 100 million </w:t>
      </w:r>
      <w:r w:rsidRPr="000078B5">
        <w:rPr>
          <w:lang w:val="en-US"/>
        </w:rPr>
        <w:lastRenderedPageBreak/>
        <w:t>more people living in food insecure regions of the world. The reasons for this were of different character: adoption of mandatory biofuels policies, high crude oil price volatility, increasing food import demand from major developing countries and below average harvests in some countries and a low level of world food stocks. (</w:t>
      </w:r>
      <w:r w:rsidR="00F239C5">
        <w:rPr>
          <w:lang w:val="en-US"/>
        </w:rPr>
        <w:t>Fischer, Hizsnyik et al. 2009, p.29)</w:t>
      </w:r>
    </w:p>
    <w:p w:rsidR="000078B5" w:rsidRPr="000078B5" w:rsidRDefault="000078B5" w:rsidP="00D610E7">
      <w:pPr>
        <w:rPr>
          <w:lang w:val="en-US"/>
        </w:rPr>
      </w:pPr>
      <w:r w:rsidRPr="000078B5">
        <w:rPr>
          <w:lang w:val="en-US"/>
        </w:rPr>
        <w:t>The food crisis in 2007/08 was triggered not only by the growing production of biofuels but also by massive losses of crop caused by crop failures like draughts and inundations. Also increasing energy and food demand</w:t>
      </w:r>
      <w:r w:rsidR="00DE3CCA">
        <w:rPr>
          <w:lang w:val="en-US"/>
        </w:rPr>
        <w:t xml:space="preserve"> </w:t>
      </w:r>
      <w:r w:rsidRPr="000078B5">
        <w:rPr>
          <w:lang w:val="en-US"/>
        </w:rPr>
        <w:t>(especially for meat which makes higher production of animal feed necessary) in China and India amplify the raising of international food prices. Speculations on markets are also price-enhancing.</w:t>
      </w:r>
      <w:r w:rsidR="00DE3CCA">
        <w:rPr>
          <w:lang w:val="en-US"/>
        </w:rPr>
        <w:t xml:space="preserve"> </w:t>
      </w:r>
      <w:r w:rsidRPr="000078B5">
        <w:rPr>
          <w:lang w:val="en-US"/>
        </w:rPr>
        <w:t>There are diverging studies and assessments, how much influence increased production of biofuels has on world’s food and animal feeds prices. The estimations range from 15-25%, some deny an augmentation and some assume even 75% higher price level, even though land used for energy plants just makes up 2</w:t>
      </w:r>
      <w:r w:rsidR="00F239C5">
        <w:rPr>
          <w:lang w:val="en-US"/>
        </w:rPr>
        <w:t>% of world’s arable land.  (</w:t>
      </w:r>
      <w:r w:rsidR="006279C9">
        <w:rPr>
          <w:lang w:val="en-US"/>
        </w:rPr>
        <w:t>Sims, Mabee et al.</w:t>
      </w:r>
      <w:r w:rsidRPr="000078B5">
        <w:rPr>
          <w:lang w:val="en-US"/>
        </w:rPr>
        <w:t xml:space="preserve"> 2009)</w:t>
      </w:r>
    </w:p>
    <w:p w:rsidR="000078B5" w:rsidRPr="000078B5" w:rsidRDefault="000078B5" w:rsidP="00D610E7">
      <w:pPr>
        <w:rPr>
          <w:lang w:val="en-US"/>
        </w:rPr>
      </w:pPr>
      <w:r w:rsidRPr="000078B5">
        <w:rPr>
          <w:lang w:val="en-US"/>
        </w:rPr>
        <w:t>A further analysis by Ajanovic also states that the price peak in agricultural commodities 2007/08 was not alone result of biofuel production. Many events lead to the high price level such as higher costs for fertilizers and fuel for farmers, switch from food cultivation to cultivation for biofuel production in the last decades, reduction of food stocks in developing countries, destruction of crops due to bad climatic conditions (draughts, inundations…) in mayor exporting countries, higher demand of developing countries, decline of the US dollar and a high correlation with speculation in</w:t>
      </w:r>
      <w:r w:rsidR="006279C9">
        <w:rPr>
          <w:lang w:val="en-US"/>
        </w:rPr>
        <w:t xml:space="preserve"> the oil market.  (Ajanovic 2010</w:t>
      </w:r>
      <w:r w:rsidRPr="000078B5">
        <w:rPr>
          <w:lang w:val="en-US"/>
        </w:rPr>
        <w:t>)</w:t>
      </w:r>
    </w:p>
    <w:p w:rsidR="000078B5" w:rsidRPr="000078B5" w:rsidRDefault="000078B5" w:rsidP="00D610E7">
      <w:pPr>
        <w:rPr>
          <w:lang w:val="en-US"/>
        </w:rPr>
      </w:pPr>
      <w:r w:rsidRPr="000078B5">
        <w:rPr>
          <w:lang w:val="en-US"/>
        </w:rPr>
        <w:t xml:space="preserve">Statements of biofuel-lobbies, saying that 1.5% of the crops in Austria and the EU can’t be the reason for increasing food prices was rejected by the IMF, who estimates that recent increasing biofuel production had a significant influence on the food prices. According to IMF estimations, biofuel production is responsible for global price increases of 70% </w:t>
      </w:r>
      <w:r w:rsidR="003963E8">
        <w:rPr>
          <w:lang w:val="en-US"/>
        </w:rPr>
        <w:t>for corn and 40% for soy. (</w:t>
      </w:r>
      <w:r w:rsidRPr="000078B5">
        <w:rPr>
          <w:lang w:val="en-US"/>
        </w:rPr>
        <w:t>IMF 2008</w:t>
      </w:r>
      <w:r w:rsidR="003963E8">
        <w:rPr>
          <w:lang w:val="en-US"/>
        </w:rPr>
        <w:t>, p.8</w:t>
      </w:r>
      <w:r w:rsidRPr="000078B5">
        <w:rPr>
          <w:lang w:val="en-US"/>
        </w:rPr>
        <w:t xml:space="preserve"> and </w:t>
      </w:r>
      <w:r w:rsidR="006279C9">
        <w:rPr>
          <w:lang w:val="en-US"/>
        </w:rPr>
        <w:t xml:space="preserve">Putzer 2010, </w:t>
      </w:r>
      <w:r w:rsidRPr="006279C9">
        <w:rPr>
          <w:lang w:val="en-US"/>
        </w:rPr>
        <w:t>p.90</w:t>
      </w:r>
      <w:r w:rsidRPr="000078B5">
        <w:rPr>
          <w:lang w:val="en-US"/>
        </w:rPr>
        <w:t xml:space="preserve">) </w:t>
      </w:r>
    </w:p>
    <w:p w:rsidR="000078B5" w:rsidRPr="000078B5" w:rsidRDefault="003963E8" w:rsidP="00D610E7">
      <w:pPr>
        <w:rPr>
          <w:lang w:val="en-US"/>
        </w:rPr>
      </w:pPr>
      <w:r>
        <w:rPr>
          <w:lang w:val="en-US"/>
        </w:rPr>
        <w:t xml:space="preserve">As mentioned </w:t>
      </w:r>
      <w:r w:rsidR="000078B5" w:rsidRPr="000078B5">
        <w:rPr>
          <w:lang w:val="en-US"/>
        </w:rPr>
        <w:t xml:space="preserve">above, production of biofuels cannot alone be made responsible for increasing of staple food prices. It may have some influence but there are remote opinions and estimations about the extent of the </w:t>
      </w:r>
      <w:r w:rsidR="002D59B7">
        <w:rPr>
          <w:lang w:val="en-US"/>
        </w:rPr>
        <w:t>effect</w:t>
      </w:r>
      <w:r w:rsidR="000078B5" w:rsidRPr="000078B5">
        <w:rPr>
          <w:lang w:val="en-US"/>
        </w:rPr>
        <w:t>. Also in the econometric analysis which was conducted in order of this paper, no significant results could be found. For further research on this topic it may be important to examine especially the regional impacts of biofuel production. Because it may not have significant impact on the price level but can be measured as social costs, that cannot be quantified.</w:t>
      </w:r>
      <w:r w:rsidR="00DE3CCA">
        <w:rPr>
          <w:lang w:val="en-US"/>
        </w:rPr>
        <w:t xml:space="preserve"> </w:t>
      </w:r>
      <w:r w:rsidR="000078B5" w:rsidRPr="000078B5">
        <w:rPr>
          <w:lang w:val="en-US"/>
        </w:rPr>
        <w:t>For example developed countries endowed with arable resources may find it more lucrative to export biofuels feedstocks to developed country markets at the expense of food production for their own consumption and for r</w:t>
      </w:r>
      <w:r w:rsidR="00D255D6">
        <w:rPr>
          <w:lang w:val="en-US"/>
        </w:rPr>
        <w:t>egional markets. (Fischer, Hizsnyik 2009, p.29</w:t>
      </w:r>
      <w:r w:rsidR="000078B5" w:rsidRPr="000078B5">
        <w:rPr>
          <w:lang w:val="en-US"/>
        </w:rPr>
        <w:t>)</w:t>
      </w:r>
    </w:p>
    <w:p w:rsidR="00D254F2" w:rsidRDefault="000078B5" w:rsidP="00D254F2">
      <w:pPr>
        <w:rPr>
          <w:lang w:val="en-US"/>
        </w:rPr>
      </w:pPr>
      <w:r w:rsidRPr="000078B5">
        <w:rPr>
          <w:lang w:val="en-US"/>
        </w:rPr>
        <w:t>A similar case is land grabbing which is a new trend in global food market. Some states or multinational companies buy or rent huge areas of arable land to cover their national demand for food production, whic</w:t>
      </w:r>
      <w:r w:rsidR="00B53E5A">
        <w:rPr>
          <w:lang w:val="en-US"/>
        </w:rPr>
        <w:t xml:space="preserve">h shows that in some countries, </w:t>
      </w:r>
      <w:r w:rsidRPr="000078B5">
        <w:rPr>
          <w:lang w:val="en-US"/>
        </w:rPr>
        <w:t>self-suffi</w:t>
      </w:r>
      <w:r w:rsidR="00B53E5A">
        <w:rPr>
          <w:lang w:val="en-US"/>
        </w:rPr>
        <w:t xml:space="preserve">cient </w:t>
      </w:r>
      <w:r w:rsidRPr="000078B5">
        <w:rPr>
          <w:lang w:val="en-US"/>
        </w:rPr>
        <w:t>cultivation of feedstock for biofuels is not possible and therefore leads to indirect land use-changes and furthermore has negative impacts on food security of countries affected by land gra</w:t>
      </w:r>
      <w:r w:rsidR="00D255D6">
        <w:rPr>
          <w:lang w:val="en-US"/>
        </w:rPr>
        <w:t>bbing. (Putzer 2010, p.38-41</w:t>
      </w:r>
      <w:r w:rsidRPr="000078B5">
        <w:rPr>
          <w:lang w:val="en-US"/>
        </w:rPr>
        <w:t>)</w:t>
      </w:r>
    </w:p>
    <w:p w:rsidR="009333AE" w:rsidRPr="006E5714" w:rsidRDefault="009333AE" w:rsidP="00D254F2">
      <w:pPr>
        <w:pStyle w:val="berschrift1"/>
        <w:rPr>
          <w:lang w:val="en-US"/>
        </w:rPr>
      </w:pPr>
      <w:bookmarkStart w:id="18" w:name="_Toc294469072"/>
      <w:r w:rsidRPr="006E5714">
        <w:rPr>
          <w:lang w:val="en-US"/>
        </w:rPr>
        <w:t>Biofuels in Austria and the Czech Republic: production and legislation</w:t>
      </w:r>
      <w:bookmarkEnd w:id="18"/>
    </w:p>
    <w:p w:rsidR="00E9555F" w:rsidRDefault="009333AE" w:rsidP="00D610E7">
      <w:pPr>
        <w:rPr>
          <w:lang w:val="en-US"/>
        </w:rPr>
      </w:pPr>
      <w:r w:rsidRPr="004558EF">
        <w:rPr>
          <w:lang w:val="en-US"/>
        </w:rPr>
        <w:lastRenderedPageBreak/>
        <w:t>This section is devoted to the analyses of biofuels market in the two EU countries, the Czech Republic and Austria, and to the estimation of the correlation between the biofuels production and food prices. Austria is number 14 among the top 25 countries producing bioethanol with its 485 mil. liters (1</w:t>
      </w:r>
      <w:r w:rsidR="00E9555F">
        <w:rPr>
          <w:lang w:val="en-US"/>
        </w:rPr>
        <w:t>28.14 mil. gallons) produced in</w:t>
      </w:r>
      <w:r w:rsidRPr="004558EF">
        <w:rPr>
          <w:lang w:val="en-US"/>
        </w:rPr>
        <w:t xml:space="preserve"> 2010 and number 16 among the top countries producing biodiesel with its 982.96 mil. liters (259.7 mil. gallons) according to the Global Biofuels Center. The Czech Republic is number 22 among the top 25 countries producing bioethanol with its 280 mil. liters (73.98 mil. gallons) and number 25 among the top countries producing biodiesel with its 459.77 mil. liters (121.47 mil. gallons)</w:t>
      </w:r>
      <w:r w:rsidRPr="004558EF">
        <w:rPr>
          <w:rStyle w:val="Funotenzeichen"/>
          <w:rFonts w:cs="Arial"/>
          <w:lang w:val="en-US"/>
        </w:rPr>
        <w:footnoteReference w:id="21"/>
      </w:r>
      <w:r w:rsidRPr="004558EF">
        <w:rPr>
          <w:lang w:val="en-US"/>
        </w:rPr>
        <w:t xml:space="preserve">. According to the discussion about the biofuels competition </w:t>
      </w:r>
      <w:r w:rsidR="00E9555F">
        <w:rPr>
          <w:lang w:val="en-US"/>
        </w:rPr>
        <w:t>with</w:t>
      </w:r>
      <w:r w:rsidRPr="004558EF">
        <w:rPr>
          <w:lang w:val="en-US"/>
        </w:rPr>
        <w:t xml:space="preserve"> food production and land for food </w:t>
      </w:r>
      <w:r w:rsidR="00E9555F">
        <w:rPr>
          <w:lang w:val="en-US"/>
        </w:rPr>
        <w:t>crops</w:t>
      </w:r>
      <w:r w:rsidRPr="004558EF">
        <w:rPr>
          <w:lang w:val="en-US"/>
        </w:rPr>
        <w:t xml:space="preserve"> we wonder if the biofuels production really </w:t>
      </w:r>
      <w:r w:rsidR="00E9555F">
        <w:rPr>
          <w:lang w:val="en-US"/>
        </w:rPr>
        <w:t>pushes up food prices.</w:t>
      </w:r>
    </w:p>
    <w:p w:rsidR="009333AE" w:rsidRDefault="009333AE" w:rsidP="007139D2">
      <w:pPr>
        <w:pStyle w:val="berschrift2"/>
      </w:pPr>
      <w:bookmarkStart w:id="19" w:name="_Toc294469073"/>
      <w:r w:rsidRPr="004558EF">
        <w:t>Biofuels in Austria</w:t>
      </w:r>
      <w:bookmarkEnd w:id="19"/>
    </w:p>
    <w:p w:rsidR="00D610E7" w:rsidRPr="007101E2" w:rsidRDefault="00D610E7" w:rsidP="007139D2">
      <w:pPr>
        <w:pStyle w:val="berschrift3"/>
      </w:pPr>
      <w:bookmarkStart w:id="20" w:name="_Toc294469074"/>
      <w:r w:rsidRPr="007101E2">
        <w:t>Market situation</w:t>
      </w:r>
      <w:bookmarkEnd w:id="20"/>
    </w:p>
    <w:p w:rsidR="00D610E7" w:rsidRPr="005144CF" w:rsidRDefault="00D610E7" w:rsidP="00D610E7">
      <w:pPr>
        <w:rPr>
          <w:lang w:val="en-US"/>
        </w:rPr>
      </w:pPr>
      <w:r w:rsidRPr="007101E2">
        <w:t xml:space="preserve">At </w:t>
      </w:r>
      <w:r w:rsidR="00DE3CCA">
        <w:t>present</w:t>
      </w:r>
      <w:r w:rsidRPr="007101E2">
        <w:t xml:space="preserve"> </w:t>
      </w:r>
      <w:smartTag w:uri="urn:schemas-microsoft-com:office:smarttags" w:element="country-region">
        <w:smartTag w:uri="urn:schemas-microsoft-com:office:smarttags" w:element="place">
          <w:r w:rsidRPr="007101E2">
            <w:t>Austria</w:t>
          </w:r>
        </w:smartTag>
      </w:smartTag>
      <w:r w:rsidRPr="007101E2">
        <w:t xml:space="preserve"> depends on importation of about 95% fossil fuels from abroad. To gain more independence 5% biodiesel (since October 2005) and 5% bioethanol (since October 2007) are added to conventional fuel and Austria also approved the EU commission’s plans of a 10% use of biofuels in the EU until 2020. To make sure that use of biofuels has exclusively positive influence on economy and environment, in the EU only biofuels produced from agro feedstock which comes up to EU sustainability criteria (e.g. cross compliance and availability of 2</w:t>
      </w:r>
      <w:r w:rsidRPr="007101E2">
        <w:rPr>
          <w:vertAlign w:val="superscript"/>
        </w:rPr>
        <w:t>nd</w:t>
      </w:r>
      <w:r w:rsidRPr="007101E2">
        <w:t xml:space="preserve"> generation fuels), are permitted. Thus, importation of palm oil from </w:t>
      </w:r>
      <w:smartTag w:uri="urn:schemas-microsoft-com:office:smarttags" w:element="country-region">
        <w:r w:rsidRPr="007101E2">
          <w:t>Malaysia</w:t>
        </w:r>
      </w:smartTag>
      <w:r w:rsidRPr="007101E2">
        <w:t xml:space="preserve"> or sugar cane ethanol from </w:t>
      </w:r>
      <w:smartTag w:uri="urn:schemas-microsoft-com:office:smarttags" w:element="country-region">
        <w:smartTag w:uri="urn:schemas-microsoft-com:office:smarttags" w:element="place">
          <w:r w:rsidRPr="007101E2">
            <w:t>Brazil</w:t>
          </w:r>
        </w:smartTag>
      </w:smartTag>
      <w:r w:rsidRPr="007101E2">
        <w:t xml:space="preserve"> going along with the deforestation or displacement of original tribes should be avoided. But gained independency on oil exporting countries on will only be shifted to other European countries because </w:t>
      </w:r>
      <w:smartTag w:uri="urn:schemas-microsoft-com:office:smarttags" w:element="country-region">
        <w:smartTag w:uri="urn:schemas-microsoft-com:office:smarttags" w:element="place">
          <w:r w:rsidRPr="007101E2">
            <w:t>Austria</w:t>
          </w:r>
        </w:smartTag>
      </w:smartTag>
      <w:r w:rsidRPr="007101E2">
        <w:t xml:space="preserve"> is not able to produce the necessary amount of feedstock to fulfill the quota. Again importation of biofuels and feedstock (e.g.:  rapeseed-seeds, vegetable oil…) from countries like </w:t>
      </w:r>
      <w:smartTag w:uri="urn:schemas-microsoft-com:office:smarttags" w:element="country-region">
        <w:r w:rsidRPr="007101E2">
          <w:t>Hungary</w:t>
        </w:r>
      </w:smartTag>
      <w:r w:rsidRPr="007101E2">
        <w:t xml:space="preserve">, </w:t>
      </w:r>
      <w:smartTag w:uri="urn:schemas-microsoft-com:office:smarttags" w:element="country-region">
        <w:smartTag w:uri="urn:schemas-microsoft-com:office:smarttags" w:element="country-region">
          <w:smartTag w:uri="urn:schemas-microsoft-com:office:smarttags" w:element="PlaceName">
            <w:r w:rsidRPr="007101E2">
              <w:t>Czech</w:t>
            </w:r>
          </w:smartTag>
        </w:smartTag>
        <w:r w:rsidRPr="007101E2">
          <w:t xml:space="preserve"> </w:t>
        </w:r>
        <w:smartTag w:uri="urn:schemas-microsoft-com:office:smarttags" w:element="country-region">
          <w:smartTag w:uri="urn:schemas-microsoft-com:office:smarttags" w:element="PlaceType">
            <w:r w:rsidRPr="007101E2">
              <w:t>Republic</w:t>
            </w:r>
          </w:smartTag>
        </w:smartTag>
      </w:smartTag>
      <w:r w:rsidRPr="007101E2">
        <w:t xml:space="preserve">, </w:t>
      </w:r>
      <w:smartTag w:uri="urn:schemas-microsoft-com:office:smarttags" w:element="country-region">
        <w:r w:rsidRPr="007101E2">
          <w:t>Romania</w:t>
        </w:r>
      </w:smartTag>
      <w:r w:rsidRPr="007101E2">
        <w:t xml:space="preserve">, </w:t>
      </w:r>
      <w:smartTag w:uri="urn:schemas-microsoft-com:office:smarttags" w:element="country-region">
        <w:r w:rsidRPr="007101E2">
          <w:t>Bulgaria</w:t>
        </w:r>
      </w:smartTag>
      <w:r w:rsidRPr="007101E2">
        <w:t xml:space="preserve"> and possibly </w:t>
      </w:r>
      <w:smartTag w:uri="urn:schemas-microsoft-com:office:smarttags" w:element="country-region">
        <w:smartTag w:uri="urn:schemas-microsoft-com:office:smarttags" w:element="place">
          <w:r w:rsidRPr="007101E2">
            <w:t>Ukraine</w:t>
          </w:r>
        </w:smartTag>
      </w:smartTag>
      <w:r w:rsidRPr="007101E2">
        <w:t xml:space="preserve">, </w:t>
      </w:r>
      <w:r w:rsidR="00DE3CCA">
        <w:t>would</w:t>
      </w:r>
      <w:r w:rsidRPr="007101E2">
        <w:t xml:space="preserve"> be necessary. The advantage of negotiations with those countries is, that they are politically more stable than countries Austria</w:t>
      </w:r>
      <w:r w:rsidR="005130E4">
        <w:t xml:space="preserve"> currently</w:t>
      </w:r>
      <w:r w:rsidRPr="007101E2">
        <w:t xml:space="preserve"> imports oil from. In most cases long business relations have already existed, which guarant</w:t>
      </w:r>
      <w:r w:rsidR="005130E4">
        <w:t>ees security of supply. Also CO</w:t>
      </w:r>
      <w:r w:rsidR="005130E4">
        <w:rPr>
          <w:vertAlign w:val="subscript"/>
        </w:rPr>
        <w:t>2</w:t>
      </w:r>
      <w:r w:rsidRPr="007101E2">
        <w:t xml:space="preserve"> emissions can be saved by the substitution of c</w:t>
      </w:r>
      <w:r>
        <w:t xml:space="preserve">onventional fuels for biofuels. </w:t>
      </w:r>
      <w:r w:rsidR="005144CF">
        <w:rPr>
          <w:lang w:val="en-US"/>
        </w:rPr>
        <w:t xml:space="preserve">(Bachlet et al. </w:t>
      </w:r>
      <w:r w:rsidR="00D21AD4">
        <w:rPr>
          <w:lang w:val="en-US"/>
        </w:rPr>
        <w:t>2008</w:t>
      </w:r>
      <w:r w:rsidRPr="0068564A">
        <w:rPr>
          <w:lang w:val="en-US"/>
        </w:rPr>
        <w:t>)</w:t>
      </w:r>
      <w:r w:rsidR="005144CF">
        <w:rPr>
          <w:lang w:val="en-US"/>
        </w:rPr>
        <w:t xml:space="preserve"> </w:t>
      </w:r>
      <w:r w:rsidRPr="007101E2">
        <w:t xml:space="preserve">Substitution goals according to EU-biofuel </w:t>
      </w:r>
      <w:r>
        <w:t>Directive</w:t>
      </w:r>
      <w:r w:rsidRPr="007101E2">
        <w:t xml:space="preserve"> 2003/30/EC, </w:t>
      </w:r>
      <w:r>
        <w:t xml:space="preserve">Directive </w:t>
      </w:r>
      <w:r w:rsidRPr="007101E2">
        <w:t xml:space="preserve">2009/28/EC and </w:t>
      </w:r>
      <w:r>
        <w:t>Austrian Fuel E</w:t>
      </w:r>
      <w:r w:rsidRPr="007101E2">
        <w:t>dict 2004:</w:t>
      </w:r>
      <w:r w:rsidR="00DE3CCA">
        <w:t xml:space="preserve"> </w:t>
      </w:r>
    </w:p>
    <w:tbl>
      <w:tblPr>
        <w:tblW w:w="4626" w:type="dxa"/>
        <w:jc w:val="center"/>
        <w:tblInd w:w="-136" w:type="dxa"/>
        <w:tblCellMar>
          <w:left w:w="70" w:type="dxa"/>
          <w:right w:w="70" w:type="dxa"/>
        </w:tblCellMar>
        <w:tblLook w:val="04A0"/>
      </w:tblPr>
      <w:tblGrid>
        <w:gridCol w:w="1446"/>
        <w:gridCol w:w="1255"/>
        <w:gridCol w:w="1925"/>
      </w:tblGrid>
      <w:tr w:rsidR="00D610E7" w:rsidRPr="00A13409" w:rsidTr="005144CF">
        <w:trPr>
          <w:trHeight w:val="345"/>
          <w:jc w:val="center"/>
        </w:trPr>
        <w:tc>
          <w:tcPr>
            <w:tcW w:w="1446" w:type="dxa"/>
            <w:tcBorders>
              <w:top w:val="single" w:sz="4" w:space="0" w:color="auto"/>
              <w:left w:val="single" w:sz="4" w:space="0" w:color="auto"/>
              <w:bottom w:val="single" w:sz="4" w:space="0" w:color="auto"/>
              <w:right w:val="single" w:sz="4" w:space="0" w:color="auto"/>
            </w:tcBorders>
            <w:shd w:val="clear" w:color="000000" w:fill="9BBB59"/>
            <w:noWrap/>
            <w:vAlign w:val="center"/>
            <w:hideMark/>
          </w:tcPr>
          <w:p w:rsidR="00D610E7" w:rsidRPr="005144CF" w:rsidRDefault="00D610E7" w:rsidP="00B53E5A">
            <w:pPr>
              <w:spacing w:line="240" w:lineRule="auto"/>
              <w:jc w:val="left"/>
              <w:rPr>
                <w:rFonts w:eastAsia="Times New Roman" w:cs="Arial"/>
                <w:lang w:val="de-AT" w:eastAsia="de-AT"/>
              </w:rPr>
            </w:pPr>
            <w:r w:rsidRPr="005144CF">
              <w:rPr>
                <w:rFonts w:eastAsia="Times New Roman" w:cs="Arial"/>
                <w:lang w:val="de-AT" w:eastAsia="de-AT"/>
              </w:rPr>
              <w:t>Target year</w:t>
            </w:r>
          </w:p>
        </w:tc>
        <w:tc>
          <w:tcPr>
            <w:tcW w:w="1255" w:type="dxa"/>
            <w:tcBorders>
              <w:top w:val="single" w:sz="4" w:space="0" w:color="auto"/>
              <w:left w:val="nil"/>
              <w:bottom w:val="single" w:sz="4" w:space="0" w:color="auto"/>
              <w:right w:val="single" w:sz="4" w:space="0" w:color="auto"/>
            </w:tcBorders>
            <w:shd w:val="clear" w:color="000000" w:fill="9BBB59"/>
            <w:noWrap/>
            <w:vAlign w:val="center"/>
            <w:hideMark/>
          </w:tcPr>
          <w:p w:rsidR="00D610E7" w:rsidRPr="005144CF" w:rsidRDefault="00D610E7" w:rsidP="00B53E5A">
            <w:pPr>
              <w:spacing w:line="240" w:lineRule="auto"/>
              <w:jc w:val="right"/>
              <w:rPr>
                <w:rFonts w:eastAsia="Times New Roman" w:cs="Arial"/>
                <w:lang w:val="de-AT" w:eastAsia="de-AT"/>
              </w:rPr>
            </w:pPr>
            <w:r w:rsidRPr="005144CF">
              <w:rPr>
                <w:rFonts w:eastAsia="Times New Roman" w:cs="Arial"/>
                <w:lang w:val="de-AT" w:eastAsia="de-AT"/>
              </w:rPr>
              <w:t>EU</w:t>
            </w:r>
          </w:p>
        </w:tc>
        <w:tc>
          <w:tcPr>
            <w:tcW w:w="1925" w:type="dxa"/>
            <w:tcBorders>
              <w:top w:val="single" w:sz="4" w:space="0" w:color="auto"/>
              <w:left w:val="nil"/>
              <w:bottom w:val="single" w:sz="4" w:space="0" w:color="auto"/>
              <w:right w:val="single" w:sz="4" w:space="0" w:color="auto"/>
            </w:tcBorders>
            <w:shd w:val="clear" w:color="000000" w:fill="9BBB59"/>
            <w:noWrap/>
            <w:vAlign w:val="center"/>
            <w:hideMark/>
          </w:tcPr>
          <w:p w:rsidR="00D610E7" w:rsidRPr="005144CF" w:rsidRDefault="00D610E7" w:rsidP="00B53E5A">
            <w:pPr>
              <w:spacing w:line="240" w:lineRule="auto"/>
              <w:jc w:val="right"/>
              <w:rPr>
                <w:rFonts w:eastAsia="Times New Roman" w:cs="Arial"/>
                <w:lang w:val="de-AT" w:eastAsia="de-AT"/>
              </w:rPr>
            </w:pPr>
            <w:r w:rsidRPr="005144CF">
              <w:rPr>
                <w:rFonts w:eastAsia="Times New Roman" w:cs="Arial"/>
                <w:lang w:val="de-AT" w:eastAsia="de-AT"/>
              </w:rPr>
              <w:t>Austria</w:t>
            </w:r>
          </w:p>
        </w:tc>
      </w:tr>
      <w:tr w:rsidR="00D610E7" w:rsidRPr="00A13409" w:rsidTr="005144CF">
        <w:trPr>
          <w:trHeight w:val="328"/>
          <w:jc w:val="center"/>
        </w:trPr>
        <w:tc>
          <w:tcPr>
            <w:tcW w:w="1446" w:type="dxa"/>
            <w:tcBorders>
              <w:top w:val="nil"/>
              <w:left w:val="single" w:sz="4" w:space="0" w:color="auto"/>
              <w:bottom w:val="single" w:sz="4" w:space="0" w:color="auto"/>
              <w:right w:val="single" w:sz="4" w:space="0" w:color="auto"/>
            </w:tcBorders>
            <w:shd w:val="clear" w:color="auto" w:fill="auto"/>
            <w:noWrap/>
            <w:vAlign w:val="center"/>
            <w:hideMark/>
          </w:tcPr>
          <w:p w:rsidR="00D610E7" w:rsidRPr="005144CF" w:rsidRDefault="00D610E7" w:rsidP="00E52A5C">
            <w:pPr>
              <w:spacing w:line="240" w:lineRule="auto"/>
              <w:rPr>
                <w:rFonts w:eastAsia="Times New Roman" w:cs="Arial"/>
                <w:color w:val="000000"/>
                <w:lang w:val="de-AT" w:eastAsia="de-AT"/>
              </w:rPr>
            </w:pPr>
            <w:r w:rsidRPr="005144CF">
              <w:rPr>
                <w:rFonts w:eastAsia="Times New Roman" w:cs="Arial"/>
                <w:color w:val="000000"/>
                <w:lang w:val="de-AT" w:eastAsia="de-AT"/>
              </w:rPr>
              <w:t>2005</w:t>
            </w:r>
          </w:p>
        </w:tc>
        <w:tc>
          <w:tcPr>
            <w:tcW w:w="1255" w:type="dxa"/>
            <w:tcBorders>
              <w:top w:val="nil"/>
              <w:left w:val="nil"/>
              <w:bottom w:val="single" w:sz="4" w:space="0" w:color="auto"/>
              <w:right w:val="single" w:sz="4" w:space="0" w:color="auto"/>
            </w:tcBorders>
            <w:shd w:val="clear" w:color="auto" w:fill="auto"/>
            <w:noWrap/>
            <w:vAlign w:val="center"/>
            <w:hideMark/>
          </w:tcPr>
          <w:p w:rsidR="00D610E7" w:rsidRPr="005144CF" w:rsidRDefault="00D610E7" w:rsidP="00E52A5C">
            <w:pPr>
              <w:spacing w:line="240" w:lineRule="auto"/>
              <w:jc w:val="right"/>
              <w:rPr>
                <w:rFonts w:eastAsia="Times New Roman" w:cs="Arial"/>
                <w:color w:val="000000"/>
                <w:lang w:val="de-AT" w:eastAsia="de-AT"/>
              </w:rPr>
            </w:pPr>
            <w:r w:rsidRPr="005144CF">
              <w:rPr>
                <w:rFonts w:eastAsia="Times New Roman" w:cs="Arial"/>
                <w:color w:val="000000"/>
                <w:lang w:val="de-AT" w:eastAsia="de-AT"/>
              </w:rPr>
              <w:t>2.00%</w:t>
            </w:r>
          </w:p>
        </w:tc>
        <w:tc>
          <w:tcPr>
            <w:tcW w:w="1925" w:type="dxa"/>
            <w:tcBorders>
              <w:top w:val="nil"/>
              <w:left w:val="nil"/>
              <w:bottom w:val="single" w:sz="4" w:space="0" w:color="auto"/>
              <w:right w:val="single" w:sz="4" w:space="0" w:color="auto"/>
            </w:tcBorders>
            <w:shd w:val="clear" w:color="auto" w:fill="auto"/>
            <w:noWrap/>
            <w:vAlign w:val="center"/>
            <w:hideMark/>
          </w:tcPr>
          <w:p w:rsidR="00D610E7" w:rsidRPr="005144CF" w:rsidRDefault="00D610E7" w:rsidP="00E52A5C">
            <w:pPr>
              <w:spacing w:line="240" w:lineRule="auto"/>
              <w:jc w:val="right"/>
              <w:rPr>
                <w:rFonts w:eastAsia="Times New Roman" w:cs="Arial"/>
                <w:color w:val="000000"/>
                <w:lang w:val="de-AT" w:eastAsia="de-AT"/>
              </w:rPr>
            </w:pPr>
            <w:r w:rsidRPr="005144CF">
              <w:rPr>
                <w:rFonts w:eastAsia="Times New Roman" w:cs="Arial"/>
                <w:color w:val="000000"/>
                <w:lang w:val="de-AT" w:eastAsia="de-AT"/>
              </w:rPr>
              <w:t>2.50%</w:t>
            </w:r>
          </w:p>
        </w:tc>
      </w:tr>
      <w:tr w:rsidR="00D610E7" w:rsidRPr="00A13409" w:rsidTr="005144CF">
        <w:trPr>
          <w:trHeight w:val="328"/>
          <w:jc w:val="center"/>
        </w:trPr>
        <w:tc>
          <w:tcPr>
            <w:tcW w:w="1446" w:type="dxa"/>
            <w:tcBorders>
              <w:top w:val="nil"/>
              <w:left w:val="single" w:sz="4" w:space="0" w:color="auto"/>
              <w:bottom w:val="single" w:sz="4" w:space="0" w:color="auto"/>
              <w:right w:val="single" w:sz="4" w:space="0" w:color="auto"/>
            </w:tcBorders>
            <w:shd w:val="clear" w:color="auto" w:fill="auto"/>
            <w:noWrap/>
            <w:vAlign w:val="center"/>
            <w:hideMark/>
          </w:tcPr>
          <w:p w:rsidR="00D610E7" w:rsidRPr="005144CF" w:rsidRDefault="00D610E7" w:rsidP="00E52A5C">
            <w:pPr>
              <w:spacing w:line="240" w:lineRule="auto"/>
              <w:rPr>
                <w:rFonts w:eastAsia="Times New Roman" w:cs="Arial"/>
                <w:color w:val="000000"/>
                <w:lang w:val="de-AT" w:eastAsia="de-AT"/>
              </w:rPr>
            </w:pPr>
            <w:r w:rsidRPr="005144CF">
              <w:rPr>
                <w:rFonts w:eastAsia="Times New Roman" w:cs="Arial"/>
                <w:color w:val="000000"/>
                <w:lang w:val="de-AT" w:eastAsia="de-AT"/>
              </w:rPr>
              <w:t>2007</w:t>
            </w:r>
          </w:p>
        </w:tc>
        <w:tc>
          <w:tcPr>
            <w:tcW w:w="1255" w:type="dxa"/>
            <w:tcBorders>
              <w:top w:val="nil"/>
              <w:left w:val="nil"/>
              <w:bottom w:val="single" w:sz="4" w:space="0" w:color="auto"/>
              <w:right w:val="single" w:sz="4" w:space="0" w:color="auto"/>
            </w:tcBorders>
            <w:shd w:val="clear" w:color="auto" w:fill="auto"/>
            <w:noWrap/>
            <w:vAlign w:val="center"/>
            <w:hideMark/>
          </w:tcPr>
          <w:p w:rsidR="00D610E7" w:rsidRPr="005144CF" w:rsidRDefault="00D610E7" w:rsidP="00E52A5C">
            <w:pPr>
              <w:spacing w:line="240" w:lineRule="auto"/>
              <w:jc w:val="right"/>
              <w:rPr>
                <w:rFonts w:eastAsia="Times New Roman" w:cs="Arial"/>
                <w:color w:val="000000"/>
                <w:lang w:val="de-AT" w:eastAsia="de-AT"/>
              </w:rPr>
            </w:pPr>
            <w:r w:rsidRPr="005144CF">
              <w:rPr>
                <w:rFonts w:eastAsia="Times New Roman" w:cs="Arial"/>
                <w:color w:val="000000"/>
                <w:lang w:val="de-AT" w:eastAsia="de-AT"/>
              </w:rPr>
              <w:t> </w:t>
            </w:r>
          </w:p>
        </w:tc>
        <w:tc>
          <w:tcPr>
            <w:tcW w:w="1925" w:type="dxa"/>
            <w:tcBorders>
              <w:top w:val="nil"/>
              <w:left w:val="nil"/>
              <w:bottom w:val="single" w:sz="4" w:space="0" w:color="auto"/>
              <w:right w:val="single" w:sz="4" w:space="0" w:color="auto"/>
            </w:tcBorders>
            <w:shd w:val="clear" w:color="auto" w:fill="auto"/>
            <w:noWrap/>
            <w:vAlign w:val="center"/>
            <w:hideMark/>
          </w:tcPr>
          <w:p w:rsidR="00D610E7" w:rsidRPr="005144CF" w:rsidRDefault="00D610E7" w:rsidP="00E52A5C">
            <w:pPr>
              <w:spacing w:line="240" w:lineRule="auto"/>
              <w:jc w:val="right"/>
              <w:rPr>
                <w:rFonts w:eastAsia="Times New Roman" w:cs="Arial"/>
                <w:color w:val="000000"/>
                <w:lang w:val="de-AT" w:eastAsia="de-AT"/>
              </w:rPr>
            </w:pPr>
            <w:r w:rsidRPr="005144CF">
              <w:rPr>
                <w:rFonts w:eastAsia="Times New Roman" w:cs="Arial"/>
                <w:color w:val="000000"/>
                <w:lang w:val="de-AT" w:eastAsia="de-AT"/>
              </w:rPr>
              <w:t>4.30%</w:t>
            </w:r>
          </w:p>
        </w:tc>
      </w:tr>
      <w:tr w:rsidR="00D610E7" w:rsidRPr="00A13409" w:rsidTr="005144CF">
        <w:trPr>
          <w:trHeight w:val="328"/>
          <w:jc w:val="center"/>
        </w:trPr>
        <w:tc>
          <w:tcPr>
            <w:tcW w:w="1446" w:type="dxa"/>
            <w:tcBorders>
              <w:top w:val="nil"/>
              <w:left w:val="single" w:sz="4" w:space="0" w:color="auto"/>
              <w:bottom w:val="single" w:sz="4" w:space="0" w:color="auto"/>
              <w:right w:val="single" w:sz="4" w:space="0" w:color="auto"/>
            </w:tcBorders>
            <w:shd w:val="clear" w:color="auto" w:fill="auto"/>
            <w:noWrap/>
            <w:vAlign w:val="center"/>
            <w:hideMark/>
          </w:tcPr>
          <w:p w:rsidR="00D610E7" w:rsidRPr="005144CF" w:rsidRDefault="00D610E7" w:rsidP="00E52A5C">
            <w:pPr>
              <w:spacing w:line="240" w:lineRule="auto"/>
              <w:rPr>
                <w:rFonts w:eastAsia="Times New Roman" w:cs="Arial"/>
                <w:color w:val="000000"/>
                <w:lang w:val="de-AT" w:eastAsia="de-AT"/>
              </w:rPr>
            </w:pPr>
            <w:r w:rsidRPr="005144CF">
              <w:rPr>
                <w:rFonts w:eastAsia="Times New Roman" w:cs="Arial"/>
                <w:color w:val="000000"/>
                <w:lang w:val="de-AT" w:eastAsia="de-AT"/>
              </w:rPr>
              <w:t>2008</w:t>
            </w:r>
          </w:p>
        </w:tc>
        <w:tc>
          <w:tcPr>
            <w:tcW w:w="1255" w:type="dxa"/>
            <w:tcBorders>
              <w:top w:val="nil"/>
              <w:left w:val="nil"/>
              <w:bottom w:val="single" w:sz="4" w:space="0" w:color="auto"/>
              <w:right w:val="single" w:sz="4" w:space="0" w:color="auto"/>
            </w:tcBorders>
            <w:shd w:val="clear" w:color="auto" w:fill="auto"/>
            <w:noWrap/>
            <w:vAlign w:val="center"/>
            <w:hideMark/>
          </w:tcPr>
          <w:p w:rsidR="00D610E7" w:rsidRPr="005144CF" w:rsidRDefault="00D610E7" w:rsidP="00E52A5C">
            <w:pPr>
              <w:spacing w:line="240" w:lineRule="auto"/>
              <w:jc w:val="right"/>
              <w:rPr>
                <w:rFonts w:eastAsia="Times New Roman" w:cs="Arial"/>
                <w:color w:val="000000"/>
                <w:lang w:val="de-AT" w:eastAsia="de-AT"/>
              </w:rPr>
            </w:pPr>
            <w:r w:rsidRPr="005144CF">
              <w:rPr>
                <w:rFonts w:eastAsia="Times New Roman" w:cs="Arial"/>
                <w:color w:val="000000"/>
                <w:lang w:val="de-AT" w:eastAsia="de-AT"/>
              </w:rPr>
              <w:t> </w:t>
            </w:r>
          </w:p>
        </w:tc>
        <w:tc>
          <w:tcPr>
            <w:tcW w:w="1925" w:type="dxa"/>
            <w:tcBorders>
              <w:top w:val="nil"/>
              <w:left w:val="nil"/>
              <w:bottom w:val="single" w:sz="4" w:space="0" w:color="auto"/>
              <w:right w:val="single" w:sz="4" w:space="0" w:color="auto"/>
            </w:tcBorders>
            <w:shd w:val="clear" w:color="auto" w:fill="auto"/>
            <w:noWrap/>
            <w:vAlign w:val="center"/>
            <w:hideMark/>
          </w:tcPr>
          <w:p w:rsidR="00D610E7" w:rsidRPr="005144CF" w:rsidRDefault="00D610E7" w:rsidP="00E52A5C">
            <w:pPr>
              <w:spacing w:line="240" w:lineRule="auto"/>
              <w:jc w:val="right"/>
              <w:rPr>
                <w:rFonts w:eastAsia="Times New Roman" w:cs="Arial"/>
                <w:color w:val="000000"/>
                <w:lang w:val="de-AT" w:eastAsia="de-AT"/>
              </w:rPr>
            </w:pPr>
            <w:r w:rsidRPr="005144CF">
              <w:rPr>
                <w:rFonts w:eastAsia="Times New Roman" w:cs="Arial"/>
                <w:color w:val="000000"/>
                <w:lang w:val="de-AT" w:eastAsia="de-AT"/>
              </w:rPr>
              <w:t>5.75%</w:t>
            </w:r>
          </w:p>
        </w:tc>
      </w:tr>
      <w:tr w:rsidR="00D610E7" w:rsidRPr="00A13409" w:rsidTr="005144CF">
        <w:trPr>
          <w:trHeight w:val="657"/>
          <w:jc w:val="center"/>
        </w:trPr>
        <w:tc>
          <w:tcPr>
            <w:tcW w:w="1446" w:type="dxa"/>
            <w:tcBorders>
              <w:top w:val="nil"/>
              <w:left w:val="single" w:sz="4" w:space="0" w:color="auto"/>
              <w:bottom w:val="single" w:sz="4" w:space="0" w:color="auto"/>
              <w:right w:val="single" w:sz="4" w:space="0" w:color="auto"/>
            </w:tcBorders>
            <w:shd w:val="clear" w:color="auto" w:fill="auto"/>
            <w:noWrap/>
            <w:vAlign w:val="center"/>
            <w:hideMark/>
          </w:tcPr>
          <w:p w:rsidR="00D610E7" w:rsidRPr="005144CF" w:rsidRDefault="00D610E7" w:rsidP="00E52A5C">
            <w:pPr>
              <w:spacing w:line="240" w:lineRule="auto"/>
              <w:rPr>
                <w:rFonts w:eastAsia="Times New Roman" w:cs="Arial"/>
                <w:color w:val="000000"/>
                <w:lang w:val="de-AT" w:eastAsia="de-AT"/>
              </w:rPr>
            </w:pPr>
            <w:r w:rsidRPr="005144CF">
              <w:rPr>
                <w:rFonts w:eastAsia="Times New Roman" w:cs="Arial"/>
                <w:color w:val="000000"/>
                <w:lang w:val="de-AT" w:eastAsia="de-AT"/>
              </w:rPr>
              <w:t>2010</w:t>
            </w:r>
          </w:p>
        </w:tc>
        <w:tc>
          <w:tcPr>
            <w:tcW w:w="1255" w:type="dxa"/>
            <w:tcBorders>
              <w:top w:val="nil"/>
              <w:left w:val="nil"/>
              <w:bottom w:val="single" w:sz="4" w:space="0" w:color="auto"/>
              <w:right w:val="single" w:sz="4" w:space="0" w:color="auto"/>
            </w:tcBorders>
            <w:shd w:val="clear" w:color="auto" w:fill="auto"/>
            <w:noWrap/>
            <w:vAlign w:val="center"/>
            <w:hideMark/>
          </w:tcPr>
          <w:p w:rsidR="00D610E7" w:rsidRPr="005144CF" w:rsidRDefault="00D610E7" w:rsidP="00E52A5C">
            <w:pPr>
              <w:spacing w:line="240" w:lineRule="auto"/>
              <w:jc w:val="right"/>
              <w:rPr>
                <w:rFonts w:eastAsia="Times New Roman" w:cs="Arial"/>
                <w:color w:val="000000"/>
                <w:lang w:val="de-AT" w:eastAsia="de-AT"/>
              </w:rPr>
            </w:pPr>
            <w:r w:rsidRPr="005144CF">
              <w:rPr>
                <w:rFonts w:eastAsia="Times New Roman" w:cs="Arial"/>
                <w:color w:val="000000"/>
                <w:lang w:val="de-AT" w:eastAsia="de-AT"/>
              </w:rPr>
              <w:t>5.75%</w:t>
            </w:r>
          </w:p>
        </w:tc>
        <w:tc>
          <w:tcPr>
            <w:tcW w:w="1925" w:type="dxa"/>
            <w:tcBorders>
              <w:top w:val="nil"/>
              <w:left w:val="nil"/>
              <w:bottom w:val="single" w:sz="4" w:space="0" w:color="auto"/>
              <w:right w:val="single" w:sz="4" w:space="0" w:color="auto"/>
            </w:tcBorders>
            <w:shd w:val="clear" w:color="auto" w:fill="auto"/>
            <w:vAlign w:val="center"/>
            <w:hideMark/>
          </w:tcPr>
          <w:p w:rsidR="00D610E7" w:rsidRPr="005144CF" w:rsidRDefault="00D610E7" w:rsidP="00E52A5C">
            <w:pPr>
              <w:spacing w:line="240" w:lineRule="auto"/>
              <w:jc w:val="right"/>
              <w:rPr>
                <w:rFonts w:eastAsia="Times New Roman" w:cs="Arial"/>
                <w:color w:val="000000"/>
                <w:lang w:val="de-AT" w:eastAsia="de-AT"/>
              </w:rPr>
            </w:pPr>
            <w:r w:rsidRPr="005144CF">
              <w:rPr>
                <w:rFonts w:eastAsia="Times New Roman" w:cs="Arial"/>
                <w:color w:val="000000"/>
                <w:lang w:val="de-AT" w:eastAsia="de-AT"/>
              </w:rPr>
              <w:t>Gasoline 3.40% Diesel 3.60%</w:t>
            </w:r>
          </w:p>
        </w:tc>
      </w:tr>
      <w:tr w:rsidR="00D610E7" w:rsidRPr="00A13409" w:rsidTr="005144CF">
        <w:trPr>
          <w:trHeight w:val="328"/>
          <w:jc w:val="center"/>
        </w:trPr>
        <w:tc>
          <w:tcPr>
            <w:tcW w:w="1446" w:type="dxa"/>
            <w:tcBorders>
              <w:top w:val="nil"/>
              <w:left w:val="single" w:sz="4" w:space="0" w:color="auto"/>
              <w:bottom w:val="single" w:sz="4" w:space="0" w:color="auto"/>
              <w:right w:val="single" w:sz="4" w:space="0" w:color="auto"/>
            </w:tcBorders>
            <w:shd w:val="clear" w:color="auto" w:fill="auto"/>
            <w:noWrap/>
            <w:vAlign w:val="center"/>
            <w:hideMark/>
          </w:tcPr>
          <w:p w:rsidR="00D610E7" w:rsidRPr="005144CF" w:rsidRDefault="00D610E7" w:rsidP="00E52A5C">
            <w:pPr>
              <w:spacing w:line="240" w:lineRule="auto"/>
              <w:rPr>
                <w:rFonts w:eastAsia="Times New Roman" w:cs="Arial"/>
                <w:color w:val="000000"/>
                <w:lang w:val="de-AT" w:eastAsia="de-AT"/>
              </w:rPr>
            </w:pPr>
            <w:r w:rsidRPr="005144CF">
              <w:rPr>
                <w:rFonts w:eastAsia="Times New Roman" w:cs="Arial"/>
                <w:color w:val="000000"/>
                <w:lang w:val="de-AT" w:eastAsia="de-AT"/>
              </w:rPr>
              <w:t>2020</w:t>
            </w:r>
          </w:p>
        </w:tc>
        <w:tc>
          <w:tcPr>
            <w:tcW w:w="1255" w:type="dxa"/>
            <w:tcBorders>
              <w:top w:val="nil"/>
              <w:left w:val="nil"/>
              <w:bottom w:val="single" w:sz="4" w:space="0" w:color="auto"/>
              <w:right w:val="single" w:sz="4" w:space="0" w:color="auto"/>
            </w:tcBorders>
            <w:shd w:val="clear" w:color="auto" w:fill="auto"/>
            <w:noWrap/>
            <w:vAlign w:val="center"/>
            <w:hideMark/>
          </w:tcPr>
          <w:p w:rsidR="00D610E7" w:rsidRPr="005144CF" w:rsidRDefault="00D610E7" w:rsidP="00E52A5C">
            <w:pPr>
              <w:spacing w:line="240" w:lineRule="auto"/>
              <w:jc w:val="right"/>
              <w:rPr>
                <w:rFonts w:eastAsia="Times New Roman" w:cs="Arial"/>
                <w:color w:val="000000"/>
                <w:lang w:val="de-AT" w:eastAsia="de-AT"/>
              </w:rPr>
            </w:pPr>
            <w:r w:rsidRPr="005144CF">
              <w:rPr>
                <w:rFonts w:eastAsia="Times New Roman" w:cs="Arial"/>
                <w:color w:val="000000"/>
                <w:lang w:val="de-AT" w:eastAsia="de-AT"/>
              </w:rPr>
              <w:t>10.00%</w:t>
            </w:r>
          </w:p>
        </w:tc>
        <w:tc>
          <w:tcPr>
            <w:tcW w:w="1925" w:type="dxa"/>
            <w:tcBorders>
              <w:top w:val="nil"/>
              <w:left w:val="nil"/>
              <w:bottom w:val="single" w:sz="4" w:space="0" w:color="auto"/>
              <w:right w:val="single" w:sz="4" w:space="0" w:color="auto"/>
            </w:tcBorders>
            <w:shd w:val="clear" w:color="auto" w:fill="auto"/>
            <w:noWrap/>
            <w:vAlign w:val="center"/>
            <w:hideMark/>
          </w:tcPr>
          <w:p w:rsidR="00D610E7" w:rsidRPr="005144CF" w:rsidRDefault="00D610E7" w:rsidP="005130E4">
            <w:pPr>
              <w:spacing w:line="240" w:lineRule="auto"/>
              <w:jc w:val="right"/>
              <w:rPr>
                <w:rFonts w:eastAsia="Times New Roman" w:cs="Arial"/>
                <w:color w:val="000000"/>
                <w:lang w:val="de-AT" w:eastAsia="de-AT"/>
              </w:rPr>
            </w:pPr>
            <w:r w:rsidRPr="005144CF">
              <w:rPr>
                <w:rFonts w:eastAsia="Times New Roman" w:cs="Arial"/>
                <w:color w:val="000000"/>
                <w:lang w:val="de-AT" w:eastAsia="de-AT"/>
              </w:rPr>
              <w:t> </w:t>
            </w:r>
          </w:p>
        </w:tc>
      </w:tr>
    </w:tbl>
    <w:p w:rsidR="006545C8" w:rsidRDefault="006545C8" w:rsidP="005130E4">
      <w:pPr>
        <w:pStyle w:val="Beschriftung"/>
        <w:jc w:val="center"/>
        <w:rPr>
          <w:color w:val="auto"/>
        </w:rPr>
      </w:pPr>
    </w:p>
    <w:p w:rsidR="005130E4" w:rsidRPr="005130E4" w:rsidRDefault="005130E4" w:rsidP="005130E4">
      <w:pPr>
        <w:pStyle w:val="Beschriftung"/>
        <w:jc w:val="center"/>
        <w:rPr>
          <w:color w:val="auto"/>
        </w:rPr>
      </w:pPr>
      <w:bookmarkStart w:id="21" w:name="_Toc294468954"/>
      <w:r w:rsidRPr="005130E4">
        <w:rPr>
          <w:color w:val="auto"/>
        </w:rPr>
        <w:t xml:space="preserve">Table </w:t>
      </w:r>
      <w:r w:rsidR="002A0101" w:rsidRPr="005130E4">
        <w:rPr>
          <w:color w:val="auto"/>
        </w:rPr>
        <w:fldChar w:fldCharType="begin"/>
      </w:r>
      <w:r w:rsidRPr="005130E4">
        <w:rPr>
          <w:color w:val="auto"/>
        </w:rPr>
        <w:instrText xml:space="preserve"> SEQ Table \* ARABIC </w:instrText>
      </w:r>
      <w:r w:rsidR="002A0101" w:rsidRPr="005130E4">
        <w:rPr>
          <w:color w:val="auto"/>
        </w:rPr>
        <w:fldChar w:fldCharType="separate"/>
      </w:r>
      <w:r w:rsidR="00CD2294">
        <w:rPr>
          <w:noProof/>
          <w:color w:val="auto"/>
        </w:rPr>
        <w:t>3</w:t>
      </w:r>
      <w:r w:rsidR="002A0101" w:rsidRPr="005130E4">
        <w:rPr>
          <w:color w:val="auto"/>
        </w:rPr>
        <w:fldChar w:fldCharType="end"/>
      </w:r>
      <w:r w:rsidR="00EA4BA0">
        <w:rPr>
          <w:color w:val="auto"/>
        </w:rPr>
        <w:t>:</w:t>
      </w:r>
      <w:r w:rsidR="006545C8">
        <w:rPr>
          <w:color w:val="auto"/>
          <w:lang w:val="en-US"/>
        </w:rPr>
        <w:t xml:space="preserve"> </w:t>
      </w:r>
      <w:r w:rsidRPr="005130E4">
        <w:rPr>
          <w:color w:val="auto"/>
          <w:lang w:val="en-US"/>
        </w:rPr>
        <w:t>Substitution goals of the EU and Austria</w:t>
      </w:r>
      <w:r w:rsidRPr="005130E4">
        <w:rPr>
          <w:rStyle w:val="Funotenzeichen"/>
          <w:color w:val="auto"/>
        </w:rPr>
        <w:footnoteReference w:id="22"/>
      </w:r>
      <w:bookmarkEnd w:id="21"/>
    </w:p>
    <w:p w:rsidR="00D610E7" w:rsidRPr="00876AF7" w:rsidRDefault="00D610E7" w:rsidP="007139D2">
      <w:pPr>
        <w:pStyle w:val="berschrift3"/>
      </w:pPr>
      <w:bookmarkStart w:id="22" w:name="_Toc294469075"/>
      <w:r>
        <w:lastRenderedPageBreak/>
        <w:t xml:space="preserve">Promotion </w:t>
      </w:r>
      <w:r w:rsidR="005130E4">
        <w:t>of</w:t>
      </w:r>
      <w:r>
        <w:t xml:space="preserve"> </w:t>
      </w:r>
      <w:r w:rsidR="005130E4">
        <w:t>b</w:t>
      </w:r>
      <w:r w:rsidR="00D554DD">
        <w:t xml:space="preserve">iofuel </w:t>
      </w:r>
      <w:r>
        <w:t>production</w:t>
      </w:r>
      <w:bookmarkEnd w:id="22"/>
    </w:p>
    <w:p w:rsidR="00D610E7" w:rsidRPr="000B24B0" w:rsidRDefault="00D610E7" w:rsidP="00D610E7">
      <w:r w:rsidRPr="00876AF7">
        <w:t xml:space="preserve">Besides the substitution obligations there are </w:t>
      </w:r>
      <w:r>
        <w:t>tax privileges for fuels (due to a spreading of the petroleum tax (MöSt</w:t>
      </w:r>
      <w:r>
        <w:rPr>
          <w:rStyle w:val="Funotenzeichen"/>
        </w:rPr>
        <w:footnoteReference w:id="23"/>
      </w:r>
      <w:r>
        <w:t xml:space="preserve">)) that are free of sulfur and which are blended with biofuels. Pure biofuels are completely liberated from any tax, as well as the share of bioethanol in the E85 fuel (of which 85% is bioethanol and 15% is petrol). These splitted petroleum tax rates became effective in October of 2005 for Diesel and in October of 2007 for petrol. </w:t>
      </w:r>
      <w:r w:rsidR="000B24B0">
        <w:t>Apart from the tax exemptions the “klima:aktiv” program of the Federal Ministry of Agriculture, Forestry, Environment and Water Management supports the switch of vehicle fleets to biofuels (pure or with minimum 40% share of biofuels) or electric drive. This support is addresses cities, municipalities, regional authorities, companies and the tourism sector.</w:t>
      </w:r>
      <w:r w:rsidR="004004FF">
        <w:t xml:space="preserve"> (</w:t>
      </w:r>
      <w:r w:rsidR="00D21AD4">
        <w:t>Winter</w:t>
      </w:r>
      <w:r w:rsidR="004004FF" w:rsidRPr="004004FF">
        <w:t xml:space="preserve"> 2010</w:t>
      </w:r>
      <w:r w:rsidR="004004FF">
        <w:t>)</w:t>
      </w:r>
    </w:p>
    <w:p w:rsidR="00D610E7" w:rsidRPr="006E5714" w:rsidRDefault="00D610E7" w:rsidP="007139D2">
      <w:pPr>
        <w:pStyle w:val="berschrift3"/>
        <w:rPr>
          <w:lang w:val="en-US"/>
        </w:rPr>
      </w:pPr>
      <w:bookmarkStart w:id="23" w:name="_Toc294469076"/>
      <w:r w:rsidRPr="006E5714">
        <w:rPr>
          <w:lang w:val="en-US"/>
        </w:rPr>
        <w:t>How did Austria implement the EU Directive 2003/30/EC?</w:t>
      </w:r>
      <w:bookmarkEnd w:id="23"/>
    </w:p>
    <w:p w:rsidR="00D610E7" w:rsidRPr="007101E2" w:rsidRDefault="00D610E7" w:rsidP="00D610E7">
      <w:r w:rsidRPr="007101E2">
        <w:t xml:space="preserve">According to the EU directive of 2003, all EU member states have to </w:t>
      </w:r>
      <w:r>
        <w:t>achieve</w:t>
      </w:r>
      <w:r w:rsidRPr="007101E2">
        <w:t xml:space="preserve"> the </w:t>
      </w:r>
      <w:r>
        <w:t xml:space="preserve">substitution target </w:t>
      </w:r>
      <w:r w:rsidRPr="007101E2">
        <w:t xml:space="preserve">of fossil fuels for biofuels </w:t>
      </w:r>
      <w:r>
        <w:t>of</w:t>
      </w:r>
      <w:r w:rsidRPr="007101E2">
        <w:t xml:space="preserve"> 2% in the year 2005 and 5,75% in the year 2010.</w:t>
      </w:r>
    </w:p>
    <w:p w:rsidR="00D610E7" w:rsidRPr="007101E2" w:rsidRDefault="00D610E7" w:rsidP="00D610E7">
      <w:smartTag w:uri="urn:schemas-microsoft-com:office:smarttags" w:element="country-region">
        <w:smartTag w:uri="urn:schemas-microsoft-com:office:smarttags" w:element="place">
          <w:r w:rsidRPr="007101E2">
            <w:t>Austria</w:t>
          </w:r>
        </w:smartTag>
      </w:smartTag>
      <w:r w:rsidRPr="007101E2">
        <w:t xml:space="preserve"> followed the legislation by implementing the “fuel directive” in 2004. After an adaption of the law in 2009 Austria already reached the aim of 5,75% in the same year and even exceeded the </w:t>
      </w:r>
      <w:r>
        <w:t>target</w:t>
      </w:r>
      <w:r w:rsidRPr="007101E2">
        <w:t xml:space="preserve"> </w:t>
      </w:r>
      <w:r>
        <w:t>with a 7% rate of substitution</w:t>
      </w:r>
      <w:r w:rsidRPr="007101E2">
        <w:t xml:space="preserve">. Mainly biofuels like Biodiesel (since October of 2005) and Bioethanol (since 20007) are added to conventional fuels. </w:t>
      </w:r>
    </w:p>
    <w:p w:rsidR="00D610E7" w:rsidRDefault="00D610E7" w:rsidP="00D610E7">
      <w:r w:rsidRPr="007101E2">
        <w:t>In the last reporting year 2009 following amounts of biofuels</w:t>
      </w:r>
      <w:r>
        <w:t xml:space="preserve"> of the first generation</w:t>
      </w:r>
      <w:r w:rsidRPr="007101E2">
        <w:t xml:space="preserve"> were </w:t>
      </w:r>
      <w:r>
        <w:t>sold</w:t>
      </w:r>
      <w:r w:rsidRPr="007101E2">
        <w:t xml:space="preserve">: </w:t>
      </w:r>
    </w:p>
    <w:tbl>
      <w:tblPr>
        <w:tblW w:w="8850" w:type="dxa"/>
        <w:jc w:val="center"/>
        <w:tblCellMar>
          <w:left w:w="70" w:type="dxa"/>
          <w:right w:w="70" w:type="dxa"/>
        </w:tblCellMar>
        <w:tblLook w:val="04A0"/>
      </w:tblPr>
      <w:tblGrid>
        <w:gridCol w:w="1419"/>
        <w:gridCol w:w="7431"/>
      </w:tblGrid>
      <w:tr w:rsidR="00D610E7" w:rsidRPr="001D5693" w:rsidTr="0043270C">
        <w:trPr>
          <w:trHeight w:val="300"/>
          <w:jc w:val="center"/>
        </w:trPr>
        <w:tc>
          <w:tcPr>
            <w:tcW w:w="1419" w:type="dxa"/>
            <w:tcBorders>
              <w:top w:val="single" w:sz="8" w:space="0" w:color="auto"/>
              <w:left w:val="single" w:sz="8" w:space="0" w:color="auto"/>
              <w:bottom w:val="single" w:sz="8" w:space="0" w:color="auto"/>
              <w:right w:val="single" w:sz="4" w:space="0" w:color="auto"/>
            </w:tcBorders>
            <w:shd w:val="clear" w:color="000000" w:fill="9BBB59"/>
            <w:noWrap/>
            <w:vAlign w:val="center"/>
            <w:hideMark/>
          </w:tcPr>
          <w:p w:rsidR="00D610E7" w:rsidRPr="001D5693" w:rsidRDefault="00D610E7" w:rsidP="00E52A5C">
            <w:pPr>
              <w:rPr>
                <w:sz w:val="24"/>
                <w:szCs w:val="24"/>
                <w:lang w:val="de-AT" w:eastAsia="de-AT"/>
              </w:rPr>
            </w:pPr>
            <w:r w:rsidRPr="001D5693">
              <w:rPr>
                <w:sz w:val="24"/>
                <w:szCs w:val="24"/>
                <w:lang w:val="de-AT" w:eastAsia="de-AT"/>
              </w:rPr>
              <w:t>Biofuel</w:t>
            </w:r>
          </w:p>
        </w:tc>
        <w:tc>
          <w:tcPr>
            <w:tcW w:w="7431" w:type="dxa"/>
            <w:tcBorders>
              <w:top w:val="single" w:sz="8" w:space="0" w:color="auto"/>
              <w:left w:val="nil"/>
              <w:bottom w:val="single" w:sz="8" w:space="0" w:color="auto"/>
              <w:right w:val="single" w:sz="8" w:space="0" w:color="auto"/>
            </w:tcBorders>
            <w:shd w:val="clear" w:color="000000" w:fill="9BBB59"/>
            <w:noWrap/>
            <w:vAlign w:val="center"/>
            <w:hideMark/>
          </w:tcPr>
          <w:p w:rsidR="00D610E7" w:rsidRPr="001D5693" w:rsidRDefault="00D610E7" w:rsidP="00E52A5C">
            <w:pPr>
              <w:rPr>
                <w:sz w:val="24"/>
                <w:szCs w:val="24"/>
                <w:lang w:val="de-AT" w:eastAsia="de-AT"/>
              </w:rPr>
            </w:pPr>
            <w:r w:rsidRPr="001D5693">
              <w:rPr>
                <w:sz w:val="24"/>
                <w:szCs w:val="24"/>
                <w:lang w:val="de-AT" w:eastAsia="de-AT"/>
              </w:rPr>
              <w:t>Amount</w:t>
            </w:r>
          </w:p>
        </w:tc>
      </w:tr>
      <w:tr w:rsidR="00D610E7" w:rsidRPr="00AE193D" w:rsidTr="0043270C">
        <w:trPr>
          <w:trHeight w:val="357"/>
          <w:jc w:val="center"/>
        </w:trPr>
        <w:tc>
          <w:tcPr>
            <w:tcW w:w="1419" w:type="dxa"/>
            <w:tcBorders>
              <w:top w:val="nil"/>
              <w:left w:val="single" w:sz="8" w:space="0" w:color="auto"/>
              <w:bottom w:val="single" w:sz="4" w:space="0" w:color="auto"/>
              <w:right w:val="single" w:sz="4" w:space="0" w:color="auto"/>
            </w:tcBorders>
            <w:shd w:val="clear" w:color="auto" w:fill="auto"/>
            <w:noWrap/>
            <w:vAlign w:val="center"/>
            <w:hideMark/>
          </w:tcPr>
          <w:p w:rsidR="00D610E7" w:rsidRPr="00AE193D" w:rsidRDefault="00D610E7" w:rsidP="00E52A5C">
            <w:pPr>
              <w:rPr>
                <w:lang w:eastAsia="de-AT"/>
              </w:rPr>
            </w:pPr>
            <w:r w:rsidRPr="00AE193D">
              <w:rPr>
                <w:lang w:eastAsia="de-AT"/>
              </w:rPr>
              <w:t>Biodiesel</w:t>
            </w:r>
          </w:p>
        </w:tc>
        <w:tc>
          <w:tcPr>
            <w:tcW w:w="7431" w:type="dxa"/>
            <w:tcBorders>
              <w:top w:val="nil"/>
              <w:left w:val="nil"/>
              <w:bottom w:val="single" w:sz="4" w:space="0" w:color="auto"/>
              <w:right w:val="single" w:sz="8" w:space="0" w:color="auto"/>
            </w:tcBorders>
            <w:shd w:val="clear" w:color="auto" w:fill="auto"/>
            <w:noWrap/>
            <w:vAlign w:val="bottom"/>
            <w:hideMark/>
          </w:tcPr>
          <w:p w:rsidR="00D610E7" w:rsidRPr="00AE193D" w:rsidRDefault="00D610E7" w:rsidP="00E52A5C">
            <w:pPr>
              <w:rPr>
                <w:lang w:eastAsia="de-AT"/>
              </w:rPr>
            </w:pPr>
            <w:r>
              <w:rPr>
                <w:lang w:eastAsia="de-AT"/>
              </w:rPr>
              <w:t>521,</w:t>
            </w:r>
            <w:r w:rsidR="00DE3CCA">
              <w:rPr>
                <w:lang w:eastAsia="de-AT"/>
              </w:rPr>
              <w:t xml:space="preserve">611 </w:t>
            </w:r>
            <w:r w:rsidRPr="00AE193D">
              <w:rPr>
                <w:lang w:eastAsia="de-AT"/>
              </w:rPr>
              <w:t xml:space="preserve">t  (of which 405.909 t were added to convenient fuels and </w:t>
            </w:r>
            <w:r>
              <w:rPr>
                <w:lang w:eastAsia="de-AT"/>
              </w:rPr>
              <w:t xml:space="preserve">    115,702 t were </w:t>
            </w:r>
            <w:r w:rsidRPr="00AE193D">
              <w:rPr>
                <w:lang w:eastAsia="de-AT"/>
              </w:rPr>
              <w:t>used purely)</w:t>
            </w:r>
          </w:p>
        </w:tc>
      </w:tr>
      <w:tr w:rsidR="00D610E7" w:rsidRPr="00AE193D" w:rsidTr="0043270C">
        <w:trPr>
          <w:trHeight w:val="357"/>
          <w:jc w:val="center"/>
        </w:trPr>
        <w:tc>
          <w:tcPr>
            <w:tcW w:w="1419" w:type="dxa"/>
            <w:tcBorders>
              <w:top w:val="nil"/>
              <w:left w:val="single" w:sz="8" w:space="0" w:color="auto"/>
              <w:bottom w:val="single" w:sz="4" w:space="0" w:color="auto"/>
              <w:right w:val="single" w:sz="4" w:space="0" w:color="auto"/>
            </w:tcBorders>
            <w:shd w:val="clear" w:color="auto" w:fill="auto"/>
            <w:noWrap/>
            <w:vAlign w:val="center"/>
            <w:hideMark/>
          </w:tcPr>
          <w:p w:rsidR="00D610E7" w:rsidRPr="00AE193D" w:rsidRDefault="00D610E7" w:rsidP="00E52A5C">
            <w:pPr>
              <w:rPr>
                <w:lang w:eastAsia="de-AT"/>
              </w:rPr>
            </w:pPr>
            <w:r>
              <w:rPr>
                <w:lang w:eastAsia="de-AT"/>
              </w:rPr>
              <w:t>Bioethanol</w:t>
            </w:r>
          </w:p>
        </w:tc>
        <w:tc>
          <w:tcPr>
            <w:tcW w:w="7431" w:type="dxa"/>
            <w:tcBorders>
              <w:top w:val="nil"/>
              <w:left w:val="nil"/>
              <w:bottom w:val="single" w:sz="4" w:space="0" w:color="auto"/>
              <w:right w:val="single" w:sz="8" w:space="0" w:color="auto"/>
            </w:tcBorders>
            <w:shd w:val="clear" w:color="auto" w:fill="auto"/>
            <w:noWrap/>
            <w:vAlign w:val="bottom"/>
            <w:hideMark/>
          </w:tcPr>
          <w:p w:rsidR="00D610E7" w:rsidRPr="00AE193D" w:rsidRDefault="00D610E7" w:rsidP="00E52A5C">
            <w:pPr>
              <w:rPr>
                <w:lang w:eastAsia="de-AT"/>
              </w:rPr>
            </w:pPr>
            <w:r>
              <w:rPr>
                <w:lang w:eastAsia="de-AT"/>
              </w:rPr>
              <w:t xml:space="preserve">  99,</w:t>
            </w:r>
            <w:r w:rsidRPr="00AE193D">
              <w:rPr>
                <w:lang w:eastAsia="de-AT"/>
              </w:rPr>
              <w:t>628 t  (of which the whole amount was used in blends)</w:t>
            </w:r>
          </w:p>
        </w:tc>
      </w:tr>
      <w:tr w:rsidR="00D610E7" w:rsidRPr="00685652" w:rsidTr="0043270C">
        <w:trPr>
          <w:trHeight w:val="375"/>
          <w:jc w:val="center"/>
        </w:trPr>
        <w:tc>
          <w:tcPr>
            <w:tcW w:w="1419" w:type="dxa"/>
            <w:tcBorders>
              <w:top w:val="nil"/>
              <w:left w:val="single" w:sz="8" w:space="0" w:color="auto"/>
              <w:bottom w:val="single" w:sz="8" w:space="0" w:color="auto"/>
              <w:right w:val="single" w:sz="4" w:space="0" w:color="auto"/>
            </w:tcBorders>
            <w:shd w:val="clear" w:color="auto" w:fill="auto"/>
            <w:noWrap/>
            <w:vAlign w:val="center"/>
            <w:hideMark/>
          </w:tcPr>
          <w:p w:rsidR="00D610E7" w:rsidRPr="00AE193D" w:rsidRDefault="00D610E7" w:rsidP="00E52A5C">
            <w:pPr>
              <w:rPr>
                <w:lang w:eastAsia="de-AT"/>
              </w:rPr>
            </w:pPr>
            <w:r w:rsidRPr="00AE193D">
              <w:rPr>
                <w:lang w:eastAsia="de-AT"/>
              </w:rPr>
              <w:t>Vegetable oil</w:t>
            </w:r>
          </w:p>
        </w:tc>
        <w:tc>
          <w:tcPr>
            <w:tcW w:w="7431" w:type="dxa"/>
            <w:tcBorders>
              <w:top w:val="nil"/>
              <w:left w:val="nil"/>
              <w:bottom w:val="single" w:sz="8" w:space="0" w:color="auto"/>
              <w:right w:val="single" w:sz="8" w:space="0" w:color="auto"/>
            </w:tcBorders>
            <w:shd w:val="clear" w:color="auto" w:fill="auto"/>
            <w:noWrap/>
            <w:vAlign w:val="bottom"/>
            <w:hideMark/>
          </w:tcPr>
          <w:p w:rsidR="00D610E7" w:rsidRPr="00AE193D" w:rsidRDefault="00D610E7" w:rsidP="005130E4">
            <w:pPr>
              <w:rPr>
                <w:lang w:eastAsia="de-AT"/>
              </w:rPr>
            </w:pPr>
            <w:r>
              <w:rPr>
                <w:lang w:eastAsia="de-AT"/>
              </w:rPr>
              <w:t xml:space="preserve">  17,</w:t>
            </w:r>
            <w:r w:rsidRPr="00AE193D">
              <w:rPr>
                <w:lang w:eastAsia="de-AT"/>
              </w:rPr>
              <w:t>784 t</w:t>
            </w:r>
            <w:r>
              <w:rPr>
                <w:lang w:eastAsia="de-AT"/>
              </w:rPr>
              <w:t xml:space="preserve">  (of which only 2,656 t were produced in Austria)</w:t>
            </w:r>
          </w:p>
        </w:tc>
      </w:tr>
    </w:tbl>
    <w:p w:rsidR="0043270C" w:rsidRPr="005130E4" w:rsidRDefault="005130E4" w:rsidP="005130E4">
      <w:pPr>
        <w:pStyle w:val="Tabellenbeschriftung"/>
        <w:spacing w:before="120"/>
        <w:ind w:left="0" w:firstLine="0"/>
        <w:rPr>
          <w:lang w:val="en-US"/>
        </w:rPr>
      </w:pPr>
      <w:bookmarkStart w:id="24" w:name="_Toc294468955"/>
      <w:r w:rsidRPr="005130E4">
        <w:rPr>
          <w:lang w:val="en-US"/>
        </w:rPr>
        <w:t xml:space="preserve">Table </w:t>
      </w:r>
      <w:r w:rsidR="002A0101">
        <w:fldChar w:fldCharType="begin"/>
      </w:r>
      <w:r w:rsidRPr="005130E4">
        <w:rPr>
          <w:lang w:val="en-US"/>
        </w:rPr>
        <w:instrText xml:space="preserve"> SEQ Table \* ARABIC </w:instrText>
      </w:r>
      <w:r w:rsidR="002A0101">
        <w:fldChar w:fldCharType="separate"/>
      </w:r>
      <w:r w:rsidR="00CD2294">
        <w:rPr>
          <w:noProof/>
          <w:lang w:val="en-US"/>
        </w:rPr>
        <w:t>4</w:t>
      </w:r>
      <w:r w:rsidR="002A0101">
        <w:fldChar w:fldCharType="end"/>
      </w:r>
      <w:r w:rsidR="00EA4BA0" w:rsidRPr="00EA4BA0">
        <w:rPr>
          <w:lang w:val="en-US"/>
        </w:rPr>
        <w:t>:</w:t>
      </w:r>
      <w:r w:rsidRPr="005130E4">
        <w:rPr>
          <w:lang w:val="en-US"/>
        </w:rPr>
        <w:t xml:space="preserve"> </w:t>
      </w:r>
      <w:r w:rsidRPr="006E5714">
        <w:rPr>
          <w:lang w:val="en-US"/>
        </w:rPr>
        <w:t>Sold amounts of biofuels in Austria 2009</w:t>
      </w:r>
      <w:bookmarkEnd w:id="24"/>
    </w:p>
    <w:p w:rsidR="00D610E7" w:rsidRPr="00C316E5" w:rsidRDefault="00D610E7" w:rsidP="00D610E7">
      <w:r w:rsidRPr="00C316E5">
        <w:t xml:space="preserve">In 2009 5.952.125 t of Diesel were sold, of which 5.889.649 t (or 99%) were blended with 6,52% </w:t>
      </w:r>
      <w:r>
        <w:t xml:space="preserve">vol. </w:t>
      </w:r>
      <w:r w:rsidRPr="00C316E5">
        <w:t xml:space="preserve">on average. In the </w:t>
      </w:r>
      <w:r>
        <w:t>reporting year</w:t>
      </w:r>
      <w:r w:rsidR="00DE3CCA">
        <w:t xml:space="preserve"> </w:t>
      </w:r>
      <w:r w:rsidR="00DE3CCA" w:rsidRPr="00C316E5">
        <w:t>2009</w:t>
      </w:r>
      <w:r>
        <w:t>, a total of 1,841,</w:t>
      </w:r>
      <w:r w:rsidRPr="00C316E5">
        <w:t xml:space="preserve">863 </w:t>
      </w:r>
      <w:r>
        <w:t>t</w:t>
      </w:r>
      <w:r w:rsidRPr="00C316E5">
        <w:t xml:space="preserve"> of petrol </w:t>
      </w:r>
      <w:r>
        <w:t>were</w:t>
      </w:r>
      <w:r w:rsidRPr="00C316E5">
        <w:t xml:space="preserve"> sold, including</w:t>
      </w:r>
      <w:r>
        <w:t xml:space="preserve"> 1,841,</w:t>
      </w:r>
      <w:r w:rsidRPr="00C316E5">
        <w:t xml:space="preserve">711 </w:t>
      </w:r>
      <w:r>
        <w:t xml:space="preserve">t </w:t>
      </w:r>
      <w:r w:rsidRPr="00C316E5">
        <w:t>with a biogenic content averaging 4.95% vol.</w:t>
      </w:r>
    </w:p>
    <w:p w:rsidR="00D610E7" w:rsidRDefault="00D610E7" w:rsidP="00D610E7">
      <w:r>
        <w:t>Amount of biofuels produced in 2009:</w:t>
      </w:r>
    </w:p>
    <w:tbl>
      <w:tblPr>
        <w:tblW w:w="3219" w:type="dxa"/>
        <w:jc w:val="center"/>
        <w:tblCellMar>
          <w:left w:w="70" w:type="dxa"/>
          <w:right w:w="70" w:type="dxa"/>
        </w:tblCellMar>
        <w:tblLook w:val="04A0"/>
      </w:tblPr>
      <w:tblGrid>
        <w:gridCol w:w="1502"/>
        <w:gridCol w:w="1717"/>
      </w:tblGrid>
      <w:tr w:rsidR="00D610E7" w:rsidRPr="00AE193D" w:rsidTr="00791C10">
        <w:trPr>
          <w:trHeight w:val="253"/>
          <w:jc w:val="center"/>
        </w:trPr>
        <w:tc>
          <w:tcPr>
            <w:tcW w:w="1502" w:type="dxa"/>
            <w:tcBorders>
              <w:top w:val="single" w:sz="8" w:space="0" w:color="auto"/>
              <w:left w:val="single" w:sz="8" w:space="0" w:color="auto"/>
              <w:bottom w:val="single" w:sz="8" w:space="0" w:color="auto"/>
              <w:right w:val="single" w:sz="4" w:space="0" w:color="auto"/>
            </w:tcBorders>
            <w:shd w:val="clear" w:color="000000" w:fill="9BBB59"/>
            <w:noWrap/>
            <w:vAlign w:val="center"/>
            <w:hideMark/>
          </w:tcPr>
          <w:p w:rsidR="00D610E7" w:rsidRPr="00AE193D" w:rsidRDefault="00D610E7" w:rsidP="00E52A5C">
            <w:pPr>
              <w:spacing w:line="240" w:lineRule="auto"/>
              <w:rPr>
                <w:rFonts w:eastAsia="Times New Roman"/>
                <w:bCs/>
                <w:sz w:val="24"/>
                <w:szCs w:val="24"/>
                <w:lang w:val="de-AT" w:eastAsia="de-AT"/>
              </w:rPr>
            </w:pPr>
            <w:r>
              <w:rPr>
                <w:rFonts w:eastAsia="Times New Roman"/>
                <w:bCs/>
                <w:sz w:val="24"/>
                <w:szCs w:val="24"/>
                <w:lang w:val="de-AT" w:eastAsia="de-AT"/>
              </w:rPr>
              <w:t>B</w:t>
            </w:r>
            <w:r w:rsidRPr="00AE193D">
              <w:rPr>
                <w:rFonts w:eastAsia="Times New Roman"/>
                <w:bCs/>
                <w:sz w:val="24"/>
                <w:szCs w:val="24"/>
                <w:lang w:val="de-AT" w:eastAsia="de-AT"/>
              </w:rPr>
              <w:t>iofuel</w:t>
            </w:r>
          </w:p>
        </w:tc>
        <w:tc>
          <w:tcPr>
            <w:tcW w:w="1717" w:type="dxa"/>
            <w:tcBorders>
              <w:top w:val="single" w:sz="8" w:space="0" w:color="auto"/>
              <w:left w:val="nil"/>
              <w:bottom w:val="single" w:sz="8" w:space="0" w:color="auto"/>
              <w:right w:val="single" w:sz="8" w:space="0" w:color="auto"/>
            </w:tcBorders>
            <w:shd w:val="clear" w:color="000000" w:fill="9BBB59"/>
            <w:noWrap/>
            <w:vAlign w:val="center"/>
            <w:hideMark/>
          </w:tcPr>
          <w:p w:rsidR="00D610E7" w:rsidRPr="00AE193D" w:rsidRDefault="00D610E7" w:rsidP="00E52A5C">
            <w:pPr>
              <w:spacing w:line="240" w:lineRule="auto"/>
              <w:rPr>
                <w:rFonts w:eastAsia="Times New Roman"/>
                <w:bCs/>
                <w:sz w:val="24"/>
                <w:szCs w:val="24"/>
                <w:lang w:val="de-AT" w:eastAsia="de-AT"/>
              </w:rPr>
            </w:pPr>
            <w:r>
              <w:rPr>
                <w:rFonts w:eastAsia="Times New Roman"/>
                <w:bCs/>
                <w:sz w:val="24"/>
                <w:szCs w:val="24"/>
                <w:lang w:val="de-AT" w:eastAsia="de-AT"/>
              </w:rPr>
              <w:t>A</w:t>
            </w:r>
            <w:r w:rsidRPr="00AE193D">
              <w:rPr>
                <w:rFonts w:eastAsia="Times New Roman"/>
                <w:bCs/>
                <w:sz w:val="24"/>
                <w:szCs w:val="24"/>
                <w:lang w:val="de-AT" w:eastAsia="de-AT"/>
              </w:rPr>
              <w:t>mount</w:t>
            </w:r>
          </w:p>
        </w:tc>
      </w:tr>
      <w:tr w:rsidR="00D610E7" w:rsidRPr="00AE193D" w:rsidTr="00791C10">
        <w:trPr>
          <w:trHeight w:val="231"/>
          <w:jc w:val="center"/>
        </w:trPr>
        <w:tc>
          <w:tcPr>
            <w:tcW w:w="1502" w:type="dxa"/>
            <w:tcBorders>
              <w:top w:val="nil"/>
              <w:left w:val="single" w:sz="8" w:space="0" w:color="auto"/>
              <w:bottom w:val="single" w:sz="4" w:space="0" w:color="auto"/>
              <w:right w:val="single" w:sz="4" w:space="0" w:color="auto"/>
            </w:tcBorders>
            <w:shd w:val="clear" w:color="auto" w:fill="auto"/>
            <w:noWrap/>
            <w:vAlign w:val="center"/>
            <w:hideMark/>
          </w:tcPr>
          <w:p w:rsidR="00D610E7" w:rsidRPr="00AE193D" w:rsidRDefault="00D610E7" w:rsidP="00E52A5C">
            <w:pPr>
              <w:spacing w:line="240" w:lineRule="auto"/>
              <w:rPr>
                <w:rFonts w:eastAsia="Times New Roman"/>
                <w:bCs/>
                <w:color w:val="000000"/>
                <w:lang w:val="de-AT" w:eastAsia="de-AT"/>
              </w:rPr>
            </w:pPr>
            <w:r w:rsidRPr="00AE193D">
              <w:rPr>
                <w:rFonts w:eastAsia="Times New Roman"/>
                <w:bCs/>
                <w:color w:val="000000"/>
                <w:lang w:val="de-AT" w:eastAsia="de-AT"/>
              </w:rPr>
              <w:t>Biodiesel</w:t>
            </w:r>
          </w:p>
        </w:tc>
        <w:tc>
          <w:tcPr>
            <w:tcW w:w="1717" w:type="dxa"/>
            <w:tcBorders>
              <w:top w:val="nil"/>
              <w:left w:val="nil"/>
              <w:bottom w:val="single" w:sz="4" w:space="0" w:color="auto"/>
              <w:right w:val="single" w:sz="8" w:space="0" w:color="auto"/>
            </w:tcBorders>
            <w:shd w:val="clear" w:color="auto" w:fill="auto"/>
            <w:noWrap/>
            <w:vAlign w:val="center"/>
            <w:hideMark/>
          </w:tcPr>
          <w:p w:rsidR="00D610E7" w:rsidRPr="00AE193D" w:rsidRDefault="00D610E7" w:rsidP="005130E4">
            <w:pPr>
              <w:jc w:val="right"/>
              <w:rPr>
                <w:lang w:val="de-AT" w:eastAsia="de-AT"/>
              </w:rPr>
            </w:pPr>
            <w:r w:rsidRPr="00AE193D">
              <w:rPr>
                <w:lang w:val="de-AT" w:eastAsia="de-AT"/>
              </w:rPr>
              <w:t>323,147 t</w:t>
            </w:r>
          </w:p>
        </w:tc>
      </w:tr>
      <w:tr w:rsidR="00D610E7" w:rsidRPr="00AE193D" w:rsidTr="00791C10">
        <w:trPr>
          <w:trHeight w:val="231"/>
          <w:jc w:val="center"/>
        </w:trPr>
        <w:tc>
          <w:tcPr>
            <w:tcW w:w="1502" w:type="dxa"/>
            <w:tcBorders>
              <w:top w:val="nil"/>
              <w:left w:val="single" w:sz="8" w:space="0" w:color="auto"/>
              <w:bottom w:val="single" w:sz="4" w:space="0" w:color="auto"/>
              <w:right w:val="single" w:sz="4" w:space="0" w:color="auto"/>
            </w:tcBorders>
            <w:shd w:val="clear" w:color="auto" w:fill="auto"/>
            <w:noWrap/>
            <w:vAlign w:val="center"/>
            <w:hideMark/>
          </w:tcPr>
          <w:p w:rsidR="00D610E7" w:rsidRPr="00AE193D" w:rsidRDefault="00D610E7" w:rsidP="00E52A5C">
            <w:pPr>
              <w:spacing w:line="240" w:lineRule="auto"/>
              <w:rPr>
                <w:rFonts w:eastAsia="Times New Roman"/>
                <w:bCs/>
                <w:color w:val="000000"/>
                <w:lang w:val="de-AT" w:eastAsia="de-AT"/>
              </w:rPr>
            </w:pPr>
            <w:r>
              <w:rPr>
                <w:rFonts w:eastAsia="Times New Roman"/>
                <w:bCs/>
                <w:color w:val="000000"/>
                <w:lang w:val="de-AT" w:eastAsia="de-AT"/>
              </w:rPr>
              <w:t>Bioethanol</w:t>
            </w:r>
          </w:p>
        </w:tc>
        <w:tc>
          <w:tcPr>
            <w:tcW w:w="1717" w:type="dxa"/>
            <w:tcBorders>
              <w:top w:val="nil"/>
              <w:left w:val="nil"/>
              <w:bottom w:val="single" w:sz="4" w:space="0" w:color="auto"/>
              <w:right w:val="single" w:sz="8" w:space="0" w:color="auto"/>
            </w:tcBorders>
            <w:shd w:val="clear" w:color="auto" w:fill="auto"/>
            <w:noWrap/>
            <w:vAlign w:val="center"/>
            <w:hideMark/>
          </w:tcPr>
          <w:p w:rsidR="00D610E7" w:rsidRPr="00AE193D" w:rsidRDefault="00D610E7" w:rsidP="005130E4">
            <w:pPr>
              <w:jc w:val="right"/>
              <w:rPr>
                <w:lang w:val="de-AT" w:eastAsia="de-AT"/>
              </w:rPr>
            </w:pPr>
            <w:r w:rsidRPr="00AE193D">
              <w:rPr>
                <w:lang w:val="de-AT" w:eastAsia="de-AT"/>
              </w:rPr>
              <w:t>138,073 t</w:t>
            </w:r>
          </w:p>
        </w:tc>
      </w:tr>
      <w:tr w:rsidR="00D610E7" w:rsidRPr="00AE193D" w:rsidTr="00791C10">
        <w:trPr>
          <w:trHeight w:val="242"/>
          <w:jc w:val="center"/>
        </w:trPr>
        <w:tc>
          <w:tcPr>
            <w:tcW w:w="1502" w:type="dxa"/>
            <w:tcBorders>
              <w:top w:val="nil"/>
              <w:left w:val="single" w:sz="8" w:space="0" w:color="auto"/>
              <w:bottom w:val="single" w:sz="8" w:space="0" w:color="auto"/>
              <w:right w:val="single" w:sz="4" w:space="0" w:color="auto"/>
            </w:tcBorders>
            <w:shd w:val="clear" w:color="auto" w:fill="auto"/>
            <w:noWrap/>
            <w:vAlign w:val="center"/>
            <w:hideMark/>
          </w:tcPr>
          <w:p w:rsidR="00D610E7" w:rsidRPr="00AE193D" w:rsidRDefault="00D610E7" w:rsidP="00E52A5C">
            <w:pPr>
              <w:spacing w:line="240" w:lineRule="auto"/>
              <w:rPr>
                <w:rFonts w:eastAsia="Times New Roman"/>
                <w:bCs/>
                <w:color w:val="000000"/>
                <w:lang w:val="de-AT" w:eastAsia="de-AT"/>
              </w:rPr>
            </w:pPr>
            <w:r w:rsidRPr="00AE193D">
              <w:rPr>
                <w:rFonts w:eastAsia="Times New Roman"/>
                <w:bCs/>
                <w:color w:val="000000"/>
                <w:lang w:val="de-AT" w:eastAsia="de-AT"/>
              </w:rPr>
              <w:t>Vegetable oil</w:t>
            </w:r>
          </w:p>
        </w:tc>
        <w:tc>
          <w:tcPr>
            <w:tcW w:w="1717" w:type="dxa"/>
            <w:tcBorders>
              <w:top w:val="nil"/>
              <w:left w:val="nil"/>
              <w:bottom w:val="single" w:sz="8" w:space="0" w:color="auto"/>
              <w:right w:val="single" w:sz="8" w:space="0" w:color="auto"/>
            </w:tcBorders>
            <w:shd w:val="clear" w:color="auto" w:fill="auto"/>
            <w:noWrap/>
            <w:vAlign w:val="center"/>
            <w:hideMark/>
          </w:tcPr>
          <w:p w:rsidR="00D610E7" w:rsidRPr="00AE193D" w:rsidRDefault="00D610E7" w:rsidP="005130E4">
            <w:pPr>
              <w:jc w:val="right"/>
              <w:rPr>
                <w:lang w:val="de-AT" w:eastAsia="de-AT"/>
              </w:rPr>
            </w:pPr>
            <w:r w:rsidRPr="00AE193D">
              <w:rPr>
                <w:lang w:val="de-AT" w:eastAsia="de-AT"/>
              </w:rPr>
              <w:t>2,656 t</w:t>
            </w:r>
          </w:p>
        </w:tc>
      </w:tr>
    </w:tbl>
    <w:p w:rsidR="005130E4" w:rsidRPr="005130E4" w:rsidRDefault="005130E4" w:rsidP="006545C8">
      <w:pPr>
        <w:pStyle w:val="Tabellenbeschriftung"/>
        <w:spacing w:before="120"/>
        <w:rPr>
          <w:lang w:val="en-US"/>
        </w:rPr>
      </w:pPr>
      <w:bookmarkStart w:id="25" w:name="_Toc294468956"/>
      <w:r w:rsidRPr="005130E4">
        <w:rPr>
          <w:lang w:val="en-US"/>
        </w:rPr>
        <w:t xml:space="preserve">Table </w:t>
      </w:r>
      <w:r w:rsidR="002A0101">
        <w:fldChar w:fldCharType="begin"/>
      </w:r>
      <w:r w:rsidRPr="005130E4">
        <w:rPr>
          <w:lang w:val="en-US"/>
        </w:rPr>
        <w:instrText xml:space="preserve"> SEQ Table \* ARABIC </w:instrText>
      </w:r>
      <w:r w:rsidR="002A0101">
        <w:fldChar w:fldCharType="separate"/>
      </w:r>
      <w:r w:rsidR="00CD2294">
        <w:rPr>
          <w:noProof/>
          <w:lang w:val="en-US"/>
        </w:rPr>
        <w:t>5</w:t>
      </w:r>
      <w:r w:rsidR="002A0101">
        <w:fldChar w:fldCharType="end"/>
      </w:r>
      <w:r w:rsidR="00EA4BA0" w:rsidRPr="00EA4BA0">
        <w:rPr>
          <w:lang w:val="en-US"/>
        </w:rPr>
        <w:t>:</w:t>
      </w:r>
      <w:r w:rsidR="006545C8">
        <w:rPr>
          <w:lang w:val="en-US"/>
        </w:rPr>
        <w:t xml:space="preserve"> </w:t>
      </w:r>
      <w:r w:rsidRPr="006E5714">
        <w:rPr>
          <w:lang w:val="en-US"/>
        </w:rPr>
        <w:t>Biofuels produced in Austria 2009</w:t>
      </w:r>
      <w:bookmarkEnd w:id="25"/>
    </w:p>
    <w:p w:rsidR="00D610E7" w:rsidRPr="0043270C" w:rsidRDefault="00D610E7" w:rsidP="007139D2">
      <w:pPr>
        <w:pStyle w:val="berschrift3"/>
        <w:rPr>
          <w:lang w:val="en-US"/>
        </w:rPr>
      </w:pPr>
      <w:bookmarkStart w:id="26" w:name="_Toc294469077"/>
      <w:r w:rsidRPr="0043270C">
        <w:rPr>
          <w:lang w:val="en-US"/>
        </w:rPr>
        <w:t>National Resources for processing biomass</w:t>
      </w:r>
      <w:bookmarkEnd w:id="26"/>
    </w:p>
    <w:p w:rsidR="00D610E7" w:rsidRDefault="00D610E7" w:rsidP="00D610E7">
      <w:r w:rsidRPr="007101E2">
        <w:rPr>
          <w:b/>
          <w:bCs/>
        </w:rPr>
        <w:t>Biodiesel</w:t>
      </w:r>
      <w:r w:rsidRPr="007101E2">
        <w:t xml:space="preserve">: in 2009 14 utilities were in use. The whole capacity was 650.500 </w:t>
      </w:r>
      <w:r w:rsidR="000562A0">
        <w:t>tonne</w:t>
      </w:r>
      <w:r w:rsidRPr="007101E2">
        <w:t>s and for 2011 an increase</w:t>
      </w:r>
      <w:r>
        <w:t xml:space="preserve"> to 7</w:t>
      </w:r>
      <w:r w:rsidRPr="007101E2">
        <w:t xml:space="preserve">00.000 </w:t>
      </w:r>
      <w:r w:rsidR="000562A0">
        <w:t>tonne</w:t>
      </w:r>
      <w:r w:rsidRPr="007101E2">
        <w:t xml:space="preserve">s </w:t>
      </w:r>
      <w:r>
        <w:t>was</w:t>
      </w:r>
      <w:r w:rsidRPr="007101E2">
        <w:t xml:space="preserve"> expected.</w:t>
      </w:r>
      <w:r>
        <w:t xml:space="preserve"> </w:t>
      </w:r>
      <w:r w:rsidRPr="007101E2">
        <w:t>(Cf. WKO)</w:t>
      </w:r>
    </w:p>
    <w:p w:rsidR="00D610E7" w:rsidRDefault="00D610E7" w:rsidP="00D610E7">
      <w:r w:rsidRPr="00446751">
        <w:rPr>
          <w:b/>
        </w:rPr>
        <w:t>Bioethanol</w:t>
      </w:r>
      <w:r>
        <w:t>: There is one bioethanol plant operating in Austria, that was put into operation in 2007. After an extension in 2009 its capacity is 191.000 t/a. As a by-product, each year 190.000 t of DDGS (Distiller’s Dired Grain with Solubles), an animal feed with high content of proteins is produced.</w:t>
      </w:r>
    </w:p>
    <w:p w:rsidR="00D610E7" w:rsidRPr="004558EF" w:rsidRDefault="002F6A91" w:rsidP="00D610E7">
      <w:pPr>
        <w:rPr>
          <w:sz w:val="26"/>
          <w:szCs w:val="26"/>
          <w:u w:val="single"/>
          <w:lang w:val="en-US"/>
        </w:rPr>
      </w:pPr>
      <w:r w:rsidRPr="001B3845">
        <w:rPr>
          <w:b/>
        </w:rPr>
        <w:lastRenderedPageBreak/>
        <w:t>Biogas:</w:t>
      </w:r>
      <w:r>
        <w:t xml:space="preserve"> In February 2010 there were 344 licensed biogas plants in Austria with a </w:t>
      </w:r>
      <w:r w:rsidRPr="001B3845">
        <w:t>capacity of 93.4 MW</w:t>
      </w:r>
    </w:p>
    <w:p w:rsidR="005130E4" w:rsidRDefault="00E67354" w:rsidP="00F72288">
      <w:pPr>
        <w:jc w:val="center"/>
      </w:pPr>
      <w:r w:rsidRPr="004558EF">
        <w:rPr>
          <w:noProof/>
          <w:lang w:val="de-AT" w:eastAsia="de-AT"/>
        </w:rPr>
        <w:drawing>
          <wp:inline distT="0" distB="0" distL="0" distR="0">
            <wp:extent cx="4354068" cy="2613279"/>
            <wp:effectExtent l="19050" t="0" r="27432" b="0"/>
            <wp:docPr id="5" name="Graf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333AE" w:rsidRPr="005130E4" w:rsidRDefault="005130E4" w:rsidP="005130E4">
      <w:pPr>
        <w:pStyle w:val="Beschriftung"/>
        <w:jc w:val="center"/>
        <w:rPr>
          <w:color w:val="auto"/>
          <w:lang w:val="en-US"/>
        </w:rPr>
      </w:pPr>
      <w:bookmarkStart w:id="27" w:name="_Toc294469008"/>
      <w:r w:rsidRPr="005130E4">
        <w:rPr>
          <w:color w:val="auto"/>
        </w:rPr>
        <w:t xml:space="preserve">Figure </w:t>
      </w:r>
      <w:r w:rsidR="002A0101" w:rsidRPr="005130E4">
        <w:rPr>
          <w:color w:val="auto"/>
        </w:rPr>
        <w:fldChar w:fldCharType="begin"/>
      </w:r>
      <w:r w:rsidRPr="005130E4">
        <w:rPr>
          <w:color w:val="auto"/>
        </w:rPr>
        <w:instrText xml:space="preserve"> SEQ Figure \* ARABIC </w:instrText>
      </w:r>
      <w:r w:rsidR="002A0101" w:rsidRPr="005130E4">
        <w:rPr>
          <w:color w:val="auto"/>
        </w:rPr>
        <w:fldChar w:fldCharType="separate"/>
      </w:r>
      <w:r w:rsidR="00904569">
        <w:rPr>
          <w:noProof/>
          <w:color w:val="auto"/>
        </w:rPr>
        <w:t>7</w:t>
      </w:r>
      <w:r w:rsidR="002A0101" w:rsidRPr="005130E4">
        <w:rPr>
          <w:color w:val="auto"/>
        </w:rPr>
        <w:fldChar w:fldCharType="end"/>
      </w:r>
      <w:r w:rsidR="00EA4BA0">
        <w:rPr>
          <w:color w:val="auto"/>
        </w:rPr>
        <w:t>:</w:t>
      </w:r>
      <w:r w:rsidRPr="005130E4">
        <w:rPr>
          <w:color w:val="auto"/>
        </w:rPr>
        <w:t xml:space="preserve"> Biodiesel production in Austria 2003-2009 in tonnes</w:t>
      </w:r>
      <w:bookmarkEnd w:id="27"/>
    </w:p>
    <w:p w:rsidR="00D610E7" w:rsidRPr="007139D2" w:rsidRDefault="009333AE" w:rsidP="007139D2">
      <w:pPr>
        <w:pStyle w:val="berschrift3"/>
        <w:rPr>
          <w:lang w:val="en-US"/>
        </w:rPr>
      </w:pPr>
      <w:bookmarkStart w:id="28" w:name="_Toc294469078"/>
      <w:r w:rsidRPr="007139D2">
        <w:rPr>
          <w:lang w:val="en-US"/>
        </w:rPr>
        <w:t>Food price vs</w:t>
      </w:r>
      <w:r w:rsidR="005130E4">
        <w:rPr>
          <w:lang w:val="en-US"/>
        </w:rPr>
        <w:t>.</w:t>
      </w:r>
      <w:r w:rsidRPr="007139D2">
        <w:rPr>
          <w:lang w:val="en-US"/>
        </w:rPr>
        <w:t xml:space="preserve"> biofuels production analysis (econometric analysis)</w:t>
      </w:r>
      <w:bookmarkEnd w:id="28"/>
      <w:r w:rsidRPr="007139D2">
        <w:rPr>
          <w:lang w:val="en-US"/>
        </w:rPr>
        <w:t xml:space="preserve"> </w:t>
      </w:r>
    </w:p>
    <w:p w:rsidR="009333AE" w:rsidRPr="004558EF" w:rsidRDefault="009333AE" w:rsidP="00D610E7">
      <w:pPr>
        <w:rPr>
          <w:lang w:val="en-US"/>
        </w:rPr>
      </w:pPr>
      <w:r w:rsidRPr="004558EF">
        <w:rPr>
          <w:lang w:val="en-US"/>
        </w:rPr>
        <w:t>This section is devoted to the econometric analysis of the impact of biofuels productio</w:t>
      </w:r>
      <w:r w:rsidR="00791C10">
        <w:rPr>
          <w:lang w:val="en-US"/>
        </w:rPr>
        <w:t>n on food prices in Austria</w:t>
      </w:r>
      <w:r w:rsidRPr="004558EF">
        <w:rPr>
          <w:lang w:val="en-US"/>
        </w:rPr>
        <w:t xml:space="preserve"> were used as data sources.</w:t>
      </w:r>
    </w:p>
    <w:p w:rsidR="0095044E" w:rsidRDefault="00E67354" w:rsidP="0095044E">
      <w:pPr>
        <w:jc w:val="center"/>
      </w:pPr>
      <w:r w:rsidRPr="004558EF">
        <w:rPr>
          <w:noProof/>
          <w:lang w:val="de-AT" w:eastAsia="de-AT"/>
        </w:rPr>
        <w:drawing>
          <wp:inline distT="0" distB="0" distL="0" distR="0">
            <wp:extent cx="4521835" cy="2057400"/>
            <wp:effectExtent l="19050" t="0" r="12065" b="0"/>
            <wp:docPr id="6" name="Graf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333AE" w:rsidRPr="0095044E" w:rsidRDefault="0095044E" w:rsidP="0095044E">
      <w:pPr>
        <w:pStyle w:val="Beschriftung"/>
        <w:jc w:val="center"/>
        <w:rPr>
          <w:noProof/>
          <w:color w:val="auto"/>
          <w:lang w:eastAsia="cs-CZ"/>
        </w:rPr>
      </w:pPr>
      <w:bookmarkStart w:id="29" w:name="_Toc294469009"/>
      <w:r w:rsidRPr="0095044E">
        <w:rPr>
          <w:color w:val="auto"/>
        </w:rPr>
        <w:t xml:space="preserve">Figure </w:t>
      </w:r>
      <w:r w:rsidR="002A0101" w:rsidRPr="0095044E">
        <w:rPr>
          <w:color w:val="auto"/>
        </w:rPr>
        <w:fldChar w:fldCharType="begin"/>
      </w:r>
      <w:r w:rsidRPr="0095044E">
        <w:rPr>
          <w:color w:val="auto"/>
        </w:rPr>
        <w:instrText xml:space="preserve"> SEQ Figure \* ARABIC </w:instrText>
      </w:r>
      <w:r w:rsidR="002A0101" w:rsidRPr="0095044E">
        <w:rPr>
          <w:color w:val="auto"/>
        </w:rPr>
        <w:fldChar w:fldCharType="separate"/>
      </w:r>
      <w:r w:rsidR="00904569">
        <w:rPr>
          <w:noProof/>
          <w:color w:val="auto"/>
        </w:rPr>
        <w:t>8</w:t>
      </w:r>
      <w:r w:rsidR="002A0101" w:rsidRPr="0095044E">
        <w:rPr>
          <w:color w:val="auto"/>
        </w:rPr>
        <w:fldChar w:fldCharType="end"/>
      </w:r>
      <w:r w:rsidRPr="0095044E">
        <w:rPr>
          <w:color w:val="auto"/>
        </w:rPr>
        <w:t>: Prices of  bread roll, bread and wheat flour in Austria</w:t>
      </w:r>
      <w:r w:rsidR="002C4350">
        <w:rPr>
          <w:color w:val="auto"/>
        </w:rPr>
        <w:t xml:space="preserve"> 2003-2009</w:t>
      </w:r>
      <w:bookmarkEnd w:id="29"/>
    </w:p>
    <w:p w:rsidR="002460C2" w:rsidRDefault="002460C2" w:rsidP="00D610E7">
      <w:pPr>
        <w:rPr>
          <w:lang w:val="en-US"/>
        </w:rPr>
      </w:pPr>
    </w:p>
    <w:p w:rsidR="00912C16" w:rsidRPr="003757A5" w:rsidRDefault="003757A5" w:rsidP="003757A5">
      <w:pPr>
        <w:rPr>
          <w:lang w:val="en-US"/>
        </w:rPr>
      </w:pPr>
      <w:r>
        <w:rPr>
          <w:lang w:val="en-US"/>
        </w:rPr>
        <w:t>A s</w:t>
      </w:r>
      <w:r w:rsidR="009333AE" w:rsidRPr="004558EF">
        <w:rPr>
          <w:lang w:val="en-US"/>
        </w:rPr>
        <w:t>imple linear regression model is used in the form</w:t>
      </w:r>
      <w:r>
        <w:rPr>
          <w:lang w:val="en-US"/>
        </w:rPr>
        <w:t xml:space="preserve">: </w:t>
      </w:r>
      <w:r w:rsidR="009333AE" w:rsidRPr="00D554DD">
        <w:rPr>
          <w:b/>
          <w:lang w:val="en-US"/>
        </w:rPr>
        <w:t>P(bread) = a</w:t>
      </w:r>
      <w:r w:rsidR="009333AE" w:rsidRPr="00D554DD">
        <w:rPr>
          <w:b/>
          <w:vertAlign w:val="subscript"/>
          <w:lang w:val="en-US"/>
        </w:rPr>
        <w:t>1</w:t>
      </w:r>
      <w:r w:rsidR="009333AE" w:rsidRPr="00D554DD">
        <w:rPr>
          <w:b/>
          <w:lang w:val="en-US"/>
        </w:rPr>
        <w:t xml:space="preserve"> UV + a</w:t>
      </w:r>
      <w:r w:rsidR="009333AE" w:rsidRPr="00D554DD">
        <w:rPr>
          <w:b/>
          <w:vertAlign w:val="subscript"/>
          <w:lang w:val="en-US"/>
        </w:rPr>
        <w:t>2</w:t>
      </w:r>
      <w:r w:rsidR="009333AE" w:rsidRPr="00D554DD">
        <w:rPr>
          <w:b/>
          <w:lang w:val="en-US"/>
        </w:rPr>
        <w:t>X + u</w:t>
      </w:r>
      <w:r w:rsidR="009333AE" w:rsidRPr="00D554DD">
        <w:rPr>
          <w:b/>
          <w:vertAlign w:val="subscript"/>
          <w:lang w:val="en-US"/>
        </w:rPr>
        <w:t>t</w:t>
      </w:r>
    </w:p>
    <w:p w:rsidR="00912C16" w:rsidRPr="00912C16" w:rsidRDefault="00912C16" w:rsidP="00912C16">
      <w:pPr>
        <w:rPr>
          <w:vertAlign w:val="subscript"/>
          <w:lang w:val="en-US"/>
        </w:rPr>
      </w:pPr>
      <w:r w:rsidRPr="00912C16">
        <w:rPr>
          <w:lang w:val="en-US"/>
        </w:rPr>
        <w:t>where</w:t>
      </w:r>
    </w:p>
    <w:p w:rsidR="00912C16" w:rsidRDefault="009333AE" w:rsidP="00912C16">
      <w:pPr>
        <w:rPr>
          <w:lang w:val="en-US"/>
        </w:rPr>
      </w:pPr>
      <w:r w:rsidRPr="004558EF">
        <w:rPr>
          <w:lang w:val="en-US"/>
        </w:rPr>
        <w:t xml:space="preserve">P(bread) is the price of bread </w:t>
      </w:r>
      <w:r w:rsidR="00912C16">
        <w:rPr>
          <w:lang w:val="en-US"/>
        </w:rPr>
        <w:t>(or bread roll and wheat flour)</w:t>
      </w:r>
    </w:p>
    <w:p w:rsidR="00912C16" w:rsidRDefault="009333AE" w:rsidP="00D610E7">
      <w:pPr>
        <w:rPr>
          <w:lang w:val="en-US"/>
        </w:rPr>
      </w:pPr>
      <w:r w:rsidRPr="004558EF">
        <w:rPr>
          <w:lang w:val="en-US"/>
        </w:rPr>
        <w:t xml:space="preserve">X is the production of biofuels in </w:t>
      </w:r>
      <w:r w:rsidR="000562A0">
        <w:rPr>
          <w:lang w:val="en-US"/>
        </w:rPr>
        <w:t>tonne</w:t>
      </w:r>
      <w:r w:rsidRPr="004558EF">
        <w:rPr>
          <w:lang w:val="en-US"/>
        </w:rPr>
        <w:t xml:space="preserve">s,  </w:t>
      </w:r>
    </w:p>
    <w:p w:rsidR="00912C16" w:rsidRDefault="009333AE" w:rsidP="00D610E7">
      <w:pPr>
        <w:rPr>
          <w:lang w:val="en-US"/>
        </w:rPr>
      </w:pPr>
      <w:r w:rsidRPr="004558EF">
        <w:rPr>
          <w:lang w:val="en-US"/>
        </w:rPr>
        <w:t xml:space="preserve">UV is a unit vector and </w:t>
      </w:r>
    </w:p>
    <w:p w:rsidR="00912C16" w:rsidRDefault="009333AE" w:rsidP="00D610E7">
      <w:pPr>
        <w:rPr>
          <w:lang w:val="en-US"/>
        </w:rPr>
      </w:pPr>
      <w:r w:rsidRPr="004558EF">
        <w:rPr>
          <w:lang w:val="en-US"/>
        </w:rPr>
        <w:t>u</w:t>
      </w:r>
      <w:r w:rsidRPr="004558EF">
        <w:rPr>
          <w:vertAlign w:val="subscript"/>
          <w:lang w:val="en-US"/>
        </w:rPr>
        <w:t>t</w:t>
      </w:r>
      <w:r w:rsidR="00912C16">
        <w:rPr>
          <w:lang w:val="en-US"/>
        </w:rPr>
        <w:t xml:space="preserve"> is a</w:t>
      </w:r>
      <w:r w:rsidRPr="004558EF">
        <w:rPr>
          <w:lang w:val="en-US"/>
        </w:rPr>
        <w:t xml:space="preserve"> stochastic variable (error term). </w:t>
      </w:r>
    </w:p>
    <w:p w:rsidR="00912C16" w:rsidRDefault="00912C16" w:rsidP="00D610E7">
      <w:pPr>
        <w:rPr>
          <w:lang w:val="en-US"/>
        </w:rPr>
      </w:pPr>
    </w:p>
    <w:p w:rsidR="008924A9" w:rsidRDefault="00912C16" w:rsidP="00912C16">
      <w:pPr>
        <w:rPr>
          <w:lang w:val="en-US"/>
        </w:rPr>
      </w:pPr>
      <w:r>
        <w:rPr>
          <w:lang w:val="en-US"/>
        </w:rPr>
        <w:t xml:space="preserve">The </w:t>
      </w:r>
      <w:r w:rsidR="009333AE" w:rsidRPr="004558EF">
        <w:rPr>
          <w:lang w:val="en-US"/>
        </w:rPr>
        <w:t xml:space="preserve">FAO food price index </w:t>
      </w:r>
      <w:r>
        <w:rPr>
          <w:lang w:val="en-US"/>
        </w:rPr>
        <w:t>uses</w:t>
      </w:r>
      <w:r w:rsidR="009333AE" w:rsidRPr="004558EF">
        <w:rPr>
          <w:lang w:val="en-US"/>
        </w:rPr>
        <w:t xml:space="preserve"> </w:t>
      </w:r>
      <w:r>
        <w:rPr>
          <w:lang w:val="en-US"/>
        </w:rPr>
        <w:t xml:space="preserve">a </w:t>
      </w:r>
      <w:r w:rsidR="009333AE" w:rsidRPr="004558EF">
        <w:rPr>
          <w:lang w:val="en-US"/>
        </w:rPr>
        <w:t xml:space="preserve">second equation instead of </w:t>
      </w:r>
      <w:r>
        <w:rPr>
          <w:lang w:val="en-US"/>
        </w:rPr>
        <w:t xml:space="preserve">the </w:t>
      </w:r>
      <w:r w:rsidR="009333AE" w:rsidRPr="004558EF">
        <w:rPr>
          <w:lang w:val="en-US"/>
        </w:rPr>
        <w:t>price of bread (P) and production of biodiesel and biogas instead of X in the first and second equation and variants of them.</w:t>
      </w:r>
      <w:r>
        <w:rPr>
          <w:lang w:val="en-US"/>
        </w:rPr>
        <w:t xml:space="preserve"> </w:t>
      </w:r>
      <w:r w:rsidR="00C00A8D" w:rsidRPr="004558EF">
        <w:rPr>
          <w:lang w:val="en-US"/>
        </w:rPr>
        <w:t>The tests for our model were not very satisfactory because we do not have long</w:t>
      </w:r>
      <w:r>
        <w:rPr>
          <w:lang w:val="en-US"/>
        </w:rPr>
        <w:t xml:space="preserve"> enough</w:t>
      </w:r>
      <w:r w:rsidR="00C00A8D" w:rsidRPr="004558EF">
        <w:rPr>
          <w:lang w:val="en-US"/>
        </w:rPr>
        <w:t xml:space="preserve"> data series (D</w:t>
      </w:r>
      <w:r w:rsidR="00C00A8D" w:rsidRPr="004558EF">
        <w:rPr>
          <w:lang w:eastAsia="cs-CZ"/>
        </w:rPr>
        <w:t>iagonal elements of W'W are very small or very different</w:t>
      </w:r>
      <w:r w:rsidR="00656FA9" w:rsidRPr="004558EF">
        <w:rPr>
          <w:lang w:eastAsia="cs-CZ"/>
        </w:rPr>
        <w:t>,</w:t>
      </w:r>
      <w:r w:rsidR="00C00A8D" w:rsidRPr="004558EF">
        <w:rPr>
          <w:lang w:eastAsia="cs-CZ"/>
        </w:rPr>
        <w:t xml:space="preserve"> </w:t>
      </w:r>
      <w:r w:rsidR="00656FA9" w:rsidRPr="004558EF">
        <w:rPr>
          <w:lang w:eastAsia="cs-CZ"/>
        </w:rPr>
        <w:t>s</w:t>
      </w:r>
      <w:r w:rsidR="00C00A8D" w:rsidRPr="004558EF">
        <w:rPr>
          <w:lang w:eastAsia="cs-CZ"/>
        </w:rPr>
        <w:t>o numerical accuracy is endangered)</w:t>
      </w:r>
      <w:r w:rsidR="008924A9">
        <w:rPr>
          <w:lang w:eastAsia="cs-CZ"/>
        </w:rPr>
        <w:t>.</w:t>
      </w:r>
      <w:r w:rsidR="00721FD9">
        <w:rPr>
          <w:lang w:val="en-US"/>
        </w:rPr>
        <w:t xml:space="preserve"> </w:t>
      </w:r>
      <w:r w:rsidR="00C00A8D" w:rsidRPr="004558EF">
        <w:rPr>
          <w:lang w:val="en-US"/>
        </w:rPr>
        <w:t>The estimated parameters in our equations are following:</w:t>
      </w:r>
      <w:r>
        <w:rPr>
          <w:lang w:val="en-US"/>
        </w:rPr>
        <w:t xml:space="preserve"> </w:t>
      </w:r>
    </w:p>
    <w:p w:rsidR="00C00A8D" w:rsidRPr="00D554DD" w:rsidRDefault="00C00A8D" w:rsidP="00912C16">
      <w:pPr>
        <w:rPr>
          <w:b/>
          <w:lang w:val="en-US"/>
        </w:rPr>
      </w:pPr>
      <w:r w:rsidRPr="00D554DD">
        <w:rPr>
          <w:b/>
          <w:lang w:val="en-US"/>
        </w:rPr>
        <w:lastRenderedPageBreak/>
        <w:t>P(barley) = 62.59 + 0.0005541X,</w:t>
      </w:r>
    </w:p>
    <w:p w:rsidR="00C00A8D" w:rsidRPr="004558EF" w:rsidRDefault="00C00A8D" w:rsidP="00D610E7">
      <w:pPr>
        <w:rPr>
          <w:lang w:val="en-US"/>
        </w:rPr>
      </w:pPr>
      <w:r w:rsidRPr="004558EF">
        <w:rPr>
          <w:lang w:val="en-US"/>
        </w:rPr>
        <w:t xml:space="preserve">where P is the price of barley in US dollars per </w:t>
      </w:r>
      <w:r w:rsidR="000562A0">
        <w:rPr>
          <w:lang w:val="en-US"/>
        </w:rPr>
        <w:t>tonne</w:t>
      </w:r>
      <w:r w:rsidRPr="004558EF">
        <w:rPr>
          <w:lang w:val="en-US"/>
        </w:rPr>
        <w:t xml:space="preserve"> in the Austrian market and X is the production of biodiesel in Austria in </w:t>
      </w:r>
      <w:r w:rsidR="000562A0">
        <w:rPr>
          <w:lang w:val="en-US"/>
        </w:rPr>
        <w:t>tonne</w:t>
      </w:r>
      <w:r w:rsidR="00656FA9" w:rsidRPr="004558EF">
        <w:rPr>
          <w:lang w:val="en-US"/>
        </w:rPr>
        <w:t>s</w:t>
      </w:r>
      <w:r w:rsidR="00912C16">
        <w:rPr>
          <w:lang w:val="en-US"/>
        </w:rPr>
        <w:t xml:space="preserve">. </w:t>
      </w:r>
      <w:r w:rsidRPr="004558EF">
        <w:rPr>
          <w:lang w:val="en-US"/>
        </w:rPr>
        <w:t xml:space="preserve">The parameter 0.0005541 means that an increase in the production of </w:t>
      </w:r>
      <w:r w:rsidRPr="005144CF">
        <w:rPr>
          <w:lang w:val="en-US"/>
        </w:rPr>
        <w:t>biodiesel</w:t>
      </w:r>
      <w:r w:rsidRPr="004558EF">
        <w:rPr>
          <w:lang w:val="en-US"/>
        </w:rPr>
        <w:t xml:space="preserve"> of 1 </w:t>
      </w:r>
      <w:r w:rsidR="000562A0">
        <w:rPr>
          <w:lang w:val="en-US"/>
        </w:rPr>
        <w:t>tonne</w:t>
      </w:r>
      <w:r w:rsidRPr="004558EF">
        <w:rPr>
          <w:lang w:val="en-US"/>
        </w:rPr>
        <w:t xml:space="preserve"> causes an increase </w:t>
      </w:r>
      <w:r w:rsidR="00912C16">
        <w:rPr>
          <w:lang w:val="en-US"/>
        </w:rPr>
        <w:t>of</w:t>
      </w:r>
      <w:r w:rsidRPr="004558EF">
        <w:rPr>
          <w:lang w:val="en-US"/>
        </w:rPr>
        <w:t xml:space="preserve"> the price of barley by 0.0005541 USD/t</w:t>
      </w:r>
      <w:r w:rsidRPr="004558EF">
        <w:rPr>
          <w:rStyle w:val="Funotenzeichen"/>
          <w:rFonts w:cs="Arial"/>
          <w:lang w:val="en-US"/>
        </w:rPr>
        <w:footnoteReference w:id="24"/>
      </w:r>
      <w:r w:rsidRPr="004558EF">
        <w:rPr>
          <w:lang w:val="en-US"/>
        </w:rPr>
        <w:t xml:space="preserve">. In the equation with </w:t>
      </w:r>
      <w:r w:rsidR="008924A9">
        <w:rPr>
          <w:lang w:val="en-US"/>
        </w:rPr>
        <w:t xml:space="preserve">the </w:t>
      </w:r>
      <w:r w:rsidRPr="004558EF">
        <w:rPr>
          <w:lang w:val="en-US"/>
        </w:rPr>
        <w:t>price of wheat in USD/t the parameter a</w:t>
      </w:r>
      <w:r w:rsidRPr="004558EF">
        <w:rPr>
          <w:vertAlign w:val="subscript"/>
          <w:lang w:val="en-US"/>
        </w:rPr>
        <w:t>2</w:t>
      </w:r>
      <w:r w:rsidRPr="004558EF">
        <w:rPr>
          <w:lang w:val="en-US"/>
        </w:rPr>
        <w:t xml:space="preserve"> was estimated to </w:t>
      </w:r>
      <w:r w:rsidRPr="004558EF">
        <w:rPr>
          <w:lang w:eastAsia="cs-CZ"/>
        </w:rPr>
        <w:t>0.000673298 and the constant was 67.007</w:t>
      </w:r>
      <w:r w:rsidRPr="004558EF">
        <w:rPr>
          <w:lang w:val="en-US"/>
        </w:rPr>
        <w:t>.</w:t>
      </w:r>
    </w:p>
    <w:p w:rsidR="008924A9" w:rsidRDefault="008924A9" w:rsidP="008924A9">
      <w:pPr>
        <w:rPr>
          <w:lang w:val="en-US"/>
        </w:rPr>
      </w:pPr>
      <w:r>
        <w:rPr>
          <w:lang w:val="en-US"/>
        </w:rPr>
        <w:t xml:space="preserve">This way the price sensibility of </w:t>
      </w:r>
      <w:r w:rsidR="00CF5C30">
        <w:rPr>
          <w:lang w:val="en-US"/>
        </w:rPr>
        <w:t xml:space="preserve">following commodities for different kinds of biofuels were analyzed: </w:t>
      </w:r>
    </w:p>
    <w:p w:rsidR="00C00A8D" w:rsidRPr="005144CF" w:rsidRDefault="00CF5C30" w:rsidP="005144CF">
      <w:pPr>
        <w:pStyle w:val="Listenabsatz"/>
        <w:numPr>
          <w:ilvl w:val="0"/>
          <w:numId w:val="44"/>
        </w:numPr>
        <w:spacing w:line="288" w:lineRule="auto"/>
        <w:ind w:left="714" w:hanging="357"/>
        <w:rPr>
          <w:sz w:val="22"/>
          <w:lang w:val="en-US"/>
        </w:rPr>
      </w:pPr>
      <w:r w:rsidRPr="005144CF">
        <w:rPr>
          <w:sz w:val="22"/>
          <w:lang w:val="en-US"/>
        </w:rPr>
        <w:t>A</w:t>
      </w:r>
      <w:r w:rsidR="00C00A8D" w:rsidRPr="005144CF">
        <w:rPr>
          <w:sz w:val="22"/>
          <w:lang w:val="en-US"/>
        </w:rPr>
        <w:t xml:space="preserve">n increase in </w:t>
      </w:r>
      <w:r w:rsidR="00912C16" w:rsidRPr="005144CF">
        <w:rPr>
          <w:sz w:val="22"/>
          <w:lang w:val="en-US"/>
        </w:rPr>
        <w:t>the production of biogas of 1 m</w:t>
      </w:r>
      <w:r w:rsidR="00912C16" w:rsidRPr="003757A5">
        <w:rPr>
          <w:sz w:val="22"/>
          <w:vertAlign w:val="superscript"/>
          <w:lang w:val="en-US"/>
        </w:rPr>
        <w:t>3</w:t>
      </w:r>
      <w:r w:rsidR="00C00A8D" w:rsidRPr="005144CF">
        <w:rPr>
          <w:sz w:val="22"/>
          <w:lang w:val="en-US"/>
        </w:rPr>
        <w:t xml:space="preserve"> causes an increase in the price of barley by 0.245363 USD/t</w:t>
      </w:r>
      <w:r w:rsidR="008924A9" w:rsidRPr="005144CF">
        <w:rPr>
          <w:sz w:val="22"/>
          <w:lang w:val="en-US"/>
        </w:rPr>
        <w:t xml:space="preserve"> </w:t>
      </w:r>
    </w:p>
    <w:p w:rsidR="008924A9" w:rsidRPr="005144CF" w:rsidRDefault="00CF5C30" w:rsidP="005144CF">
      <w:pPr>
        <w:pStyle w:val="Listenabsatz"/>
        <w:numPr>
          <w:ilvl w:val="0"/>
          <w:numId w:val="44"/>
        </w:numPr>
        <w:spacing w:line="288" w:lineRule="auto"/>
        <w:ind w:left="714" w:hanging="357"/>
        <w:rPr>
          <w:sz w:val="22"/>
          <w:lang w:val="en-US"/>
        </w:rPr>
      </w:pPr>
      <w:r w:rsidRPr="005144CF">
        <w:rPr>
          <w:sz w:val="22"/>
          <w:lang w:val="en-US"/>
        </w:rPr>
        <w:t>A</w:t>
      </w:r>
      <w:r w:rsidR="00C00A8D" w:rsidRPr="005144CF">
        <w:rPr>
          <w:sz w:val="22"/>
          <w:lang w:val="en-US"/>
        </w:rPr>
        <w:t xml:space="preserve">n increase in the production of </w:t>
      </w:r>
      <w:r w:rsidR="00C00A8D" w:rsidRPr="003757A5">
        <w:rPr>
          <w:sz w:val="22"/>
          <w:lang w:val="en-US"/>
        </w:rPr>
        <w:t>biodiesel</w:t>
      </w:r>
      <w:r w:rsidR="00C00A8D" w:rsidRPr="005144CF">
        <w:rPr>
          <w:sz w:val="22"/>
          <w:lang w:val="en-US"/>
        </w:rPr>
        <w:t xml:space="preserve"> </w:t>
      </w:r>
      <w:r w:rsidRPr="005144CF">
        <w:rPr>
          <w:sz w:val="22"/>
          <w:lang w:val="en-US"/>
        </w:rPr>
        <w:t>by</w:t>
      </w:r>
      <w:r w:rsidR="00C00A8D" w:rsidRPr="005144CF">
        <w:rPr>
          <w:sz w:val="22"/>
          <w:lang w:val="en-US"/>
        </w:rPr>
        <w:t xml:space="preserve"> 1 </w:t>
      </w:r>
      <w:r w:rsidR="000562A0" w:rsidRPr="005144CF">
        <w:rPr>
          <w:sz w:val="22"/>
          <w:lang w:val="en-US"/>
        </w:rPr>
        <w:t>tonne</w:t>
      </w:r>
      <w:r w:rsidR="00C00A8D" w:rsidRPr="005144CF">
        <w:rPr>
          <w:sz w:val="22"/>
          <w:lang w:val="en-US"/>
        </w:rPr>
        <w:t xml:space="preserve"> causes an decrease in the price of bread roll of </w:t>
      </w:r>
      <w:r w:rsidR="00C00A8D" w:rsidRPr="00516104">
        <w:rPr>
          <w:sz w:val="22"/>
          <w:lang w:val="en-US" w:eastAsia="cs-CZ"/>
        </w:rPr>
        <w:t xml:space="preserve">-0.0014 </w:t>
      </w:r>
      <w:r w:rsidRPr="005144CF">
        <w:rPr>
          <w:sz w:val="22"/>
          <w:lang w:val="en-US"/>
        </w:rPr>
        <w:t>€</w:t>
      </w:r>
      <w:r w:rsidR="00C00A8D" w:rsidRPr="005144CF">
        <w:rPr>
          <w:sz w:val="22"/>
          <w:lang w:val="en-US"/>
        </w:rPr>
        <w:t xml:space="preserve"> per piece</w:t>
      </w:r>
    </w:p>
    <w:p w:rsidR="008924A9" w:rsidRPr="005144CF" w:rsidRDefault="00CF5C30" w:rsidP="005144CF">
      <w:pPr>
        <w:pStyle w:val="Listenabsatz"/>
        <w:numPr>
          <w:ilvl w:val="0"/>
          <w:numId w:val="44"/>
        </w:numPr>
        <w:spacing w:line="288" w:lineRule="auto"/>
        <w:ind w:left="714" w:hanging="357"/>
        <w:rPr>
          <w:sz w:val="22"/>
          <w:lang w:val="en-US"/>
        </w:rPr>
      </w:pPr>
      <w:r w:rsidRPr="00516104">
        <w:rPr>
          <w:sz w:val="22"/>
          <w:lang w:val="en-US" w:eastAsia="cs-CZ"/>
        </w:rPr>
        <w:t>A</w:t>
      </w:r>
      <w:r w:rsidR="00C00A8D" w:rsidRPr="00516104">
        <w:rPr>
          <w:sz w:val="22"/>
          <w:lang w:val="en-US" w:eastAsia="cs-CZ"/>
        </w:rPr>
        <w:t xml:space="preserve">n increase in the </w:t>
      </w:r>
      <w:r w:rsidR="00C00A8D" w:rsidRPr="003757A5">
        <w:rPr>
          <w:sz w:val="22"/>
          <w:lang w:val="en-US" w:eastAsia="cs-CZ"/>
        </w:rPr>
        <w:t>biodiesel</w:t>
      </w:r>
      <w:r w:rsidR="00C00A8D" w:rsidRPr="00516104">
        <w:rPr>
          <w:sz w:val="22"/>
          <w:lang w:val="en-US" w:eastAsia="cs-CZ"/>
        </w:rPr>
        <w:t xml:space="preserve"> production by 1 </w:t>
      </w:r>
      <w:r w:rsidR="000562A0" w:rsidRPr="00516104">
        <w:rPr>
          <w:sz w:val="22"/>
          <w:lang w:val="en-US" w:eastAsia="cs-CZ"/>
        </w:rPr>
        <w:t>tonne</w:t>
      </w:r>
      <w:r w:rsidR="00C00A8D" w:rsidRPr="00516104">
        <w:rPr>
          <w:sz w:val="22"/>
          <w:lang w:val="en-US" w:eastAsia="cs-CZ"/>
        </w:rPr>
        <w:t xml:space="preserve"> increases </w:t>
      </w:r>
      <w:r w:rsidRPr="00516104">
        <w:rPr>
          <w:sz w:val="22"/>
          <w:lang w:val="en-US" w:eastAsia="cs-CZ"/>
        </w:rPr>
        <w:t xml:space="preserve">the price of bread by 0.004122 € </w:t>
      </w:r>
      <w:r w:rsidR="00C00A8D" w:rsidRPr="00516104">
        <w:rPr>
          <w:sz w:val="22"/>
          <w:lang w:val="en-US" w:eastAsia="cs-CZ"/>
        </w:rPr>
        <w:t>per kilo</w:t>
      </w:r>
      <w:r w:rsidR="00C00A8D" w:rsidRPr="005144CF">
        <w:rPr>
          <w:sz w:val="22"/>
          <w:lang w:val="en-US"/>
        </w:rPr>
        <w:t>.</w:t>
      </w:r>
    </w:p>
    <w:p w:rsidR="00CF5C30" w:rsidRPr="00516104" w:rsidRDefault="005144CF" w:rsidP="005144CF">
      <w:pPr>
        <w:pStyle w:val="Listenabsatz"/>
        <w:numPr>
          <w:ilvl w:val="0"/>
          <w:numId w:val="44"/>
        </w:numPr>
        <w:spacing w:line="288" w:lineRule="auto"/>
        <w:ind w:left="714" w:hanging="357"/>
        <w:rPr>
          <w:sz w:val="22"/>
          <w:lang w:val="en-US" w:eastAsia="cs-CZ"/>
        </w:rPr>
      </w:pPr>
      <w:r w:rsidRPr="00516104">
        <w:rPr>
          <w:sz w:val="22"/>
          <w:lang w:val="en-US" w:eastAsia="cs-CZ"/>
        </w:rPr>
        <w:t>A</w:t>
      </w:r>
      <w:r w:rsidR="00C00A8D" w:rsidRPr="00516104">
        <w:rPr>
          <w:sz w:val="22"/>
          <w:lang w:val="en-US" w:eastAsia="cs-CZ"/>
        </w:rPr>
        <w:t xml:space="preserve">n increase in the biodiesel production by 1 </w:t>
      </w:r>
      <w:r w:rsidR="000562A0" w:rsidRPr="00516104">
        <w:rPr>
          <w:sz w:val="22"/>
          <w:lang w:val="en-US" w:eastAsia="cs-CZ"/>
        </w:rPr>
        <w:t>tonne</w:t>
      </w:r>
      <w:r w:rsidR="00C00A8D" w:rsidRPr="00516104">
        <w:rPr>
          <w:sz w:val="22"/>
          <w:lang w:val="en-US" w:eastAsia="cs-CZ"/>
        </w:rPr>
        <w:t xml:space="preserve"> increases the price of </w:t>
      </w:r>
      <w:r w:rsidR="00C00A8D" w:rsidRPr="005144CF">
        <w:rPr>
          <w:sz w:val="22"/>
          <w:lang w:val="en-US"/>
        </w:rPr>
        <w:t xml:space="preserve">wheat flour  </w:t>
      </w:r>
      <w:r w:rsidR="00C00A8D" w:rsidRPr="00516104">
        <w:rPr>
          <w:sz w:val="22"/>
          <w:lang w:val="en-US" w:eastAsia="cs-CZ"/>
        </w:rPr>
        <w:t xml:space="preserve">by 0.005757 </w:t>
      </w:r>
      <w:r w:rsidR="00CF5C30" w:rsidRPr="00516104">
        <w:rPr>
          <w:sz w:val="22"/>
          <w:lang w:val="en-US" w:eastAsia="cs-CZ"/>
        </w:rPr>
        <w:t>€</w:t>
      </w:r>
      <w:r w:rsidR="00C00A8D" w:rsidRPr="00516104">
        <w:rPr>
          <w:sz w:val="22"/>
          <w:lang w:val="en-US" w:eastAsia="cs-CZ"/>
        </w:rPr>
        <w:t xml:space="preserve"> per kilo</w:t>
      </w:r>
    </w:p>
    <w:p w:rsidR="00C00A8D" w:rsidRPr="005144CF" w:rsidRDefault="00CF5C30" w:rsidP="005144CF">
      <w:pPr>
        <w:pStyle w:val="Listenabsatz"/>
        <w:numPr>
          <w:ilvl w:val="0"/>
          <w:numId w:val="44"/>
        </w:numPr>
        <w:spacing w:line="288" w:lineRule="auto"/>
        <w:ind w:left="714" w:hanging="357"/>
        <w:rPr>
          <w:sz w:val="22"/>
          <w:lang w:val="en-US"/>
        </w:rPr>
      </w:pPr>
      <w:r w:rsidRPr="00516104">
        <w:rPr>
          <w:sz w:val="22"/>
          <w:lang w:val="en-US"/>
        </w:rPr>
        <w:t xml:space="preserve">An </w:t>
      </w:r>
      <w:r w:rsidR="00C00A8D" w:rsidRPr="00516104">
        <w:rPr>
          <w:sz w:val="22"/>
          <w:lang w:val="en-US"/>
        </w:rPr>
        <w:t>increase</w:t>
      </w:r>
      <w:r w:rsidR="00C00A8D" w:rsidRPr="005144CF">
        <w:rPr>
          <w:sz w:val="22"/>
          <w:lang w:val="en-US"/>
        </w:rPr>
        <w:t xml:space="preserve"> in the production of biogas of 1 m</w:t>
      </w:r>
      <w:r w:rsidRPr="005144CF">
        <w:rPr>
          <w:sz w:val="22"/>
          <w:vertAlign w:val="superscript"/>
          <w:lang w:val="en-US"/>
        </w:rPr>
        <w:t>3</w:t>
      </w:r>
      <w:r w:rsidR="00C00A8D" w:rsidRPr="005144CF">
        <w:rPr>
          <w:sz w:val="22"/>
          <w:lang w:val="en-US"/>
        </w:rPr>
        <w:t xml:space="preserve"> causes an decrease in the price of bread roll of 0.02877 </w:t>
      </w:r>
      <w:r w:rsidRPr="005144CF">
        <w:rPr>
          <w:sz w:val="22"/>
          <w:lang w:val="en-US"/>
        </w:rPr>
        <w:t>USD</w:t>
      </w:r>
      <w:r w:rsidR="00C00A8D" w:rsidRPr="005144CF">
        <w:rPr>
          <w:sz w:val="22"/>
          <w:lang w:val="en-US"/>
        </w:rPr>
        <w:t xml:space="preserve"> per piece</w:t>
      </w:r>
    </w:p>
    <w:p w:rsidR="00C00A8D" w:rsidRPr="005144CF" w:rsidRDefault="00CF5C30" w:rsidP="005144CF">
      <w:pPr>
        <w:pStyle w:val="Listenabsatz"/>
        <w:numPr>
          <w:ilvl w:val="0"/>
          <w:numId w:val="44"/>
        </w:numPr>
        <w:spacing w:line="288" w:lineRule="auto"/>
        <w:ind w:left="714" w:hanging="357"/>
        <w:rPr>
          <w:sz w:val="22"/>
          <w:lang w:val="en-US"/>
        </w:rPr>
      </w:pPr>
      <w:r w:rsidRPr="00516104">
        <w:rPr>
          <w:sz w:val="22"/>
          <w:lang w:val="en-US"/>
        </w:rPr>
        <w:t>A</w:t>
      </w:r>
      <w:r w:rsidR="00C00A8D" w:rsidRPr="00516104">
        <w:rPr>
          <w:sz w:val="22"/>
          <w:lang w:val="en-US"/>
        </w:rPr>
        <w:t>n increase</w:t>
      </w:r>
      <w:r w:rsidR="00C00A8D" w:rsidRPr="005144CF">
        <w:rPr>
          <w:sz w:val="22"/>
          <w:lang w:val="en-US"/>
        </w:rPr>
        <w:t xml:space="preserve"> </w:t>
      </w:r>
      <w:r w:rsidR="00E76008" w:rsidRPr="005144CF">
        <w:rPr>
          <w:sz w:val="22"/>
          <w:lang w:val="en-US"/>
        </w:rPr>
        <w:t>of</w:t>
      </w:r>
      <w:r w:rsidR="00C00A8D" w:rsidRPr="005144CF">
        <w:rPr>
          <w:sz w:val="22"/>
          <w:lang w:val="en-US"/>
        </w:rPr>
        <w:t xml:space="preserve"> </w:t>
      </w:r>
      <w:r w:rsidR="00E76008" w:rsidRPr="005144CF">
        <w:rPr>
          <w:sz w:val="22"/>
          <w:lang w:val="en-US"/>
        </w:rPr>
        <w:t>the production of biogas of 1 m</w:t>
      </w:r>
      <w:r w:rsidR="00E76008" w:rsidRPr="005144CF">
        <w:rPr>
          <w:sz w:val="22"/>
          <w:vertAlign w:val="superscript"/>
          <w:lang w:val="en-US"/>
        </w:rPr>
        <w:t>3</w:t>
      </w:r>
      <w:r w:rsidR="00C00A8D" w:rsidRPr="005144CF">
        <w:rPr>
          <w:sz w:val="22"/>
          <w:lang w:val="en-US"/>
        </w:rPr>
        <w:t xml:space="preserve"> causes an increase in the price of bread of 0.001033 </w:t>
      </w:r>
      <w:r w:rsidRPr="005144CF">
        <w:rPr>
          <w:sz w:val="22"/>
          <w:lang w:val="en-US"/>
        </w:rPr>
        <w:t>USD</w:t>
      </w:r>
      <w:r w:rsidR="00C00A8D" w:rsidRPr="005144CF">
        <w:rPr>
          <w:sz w:val="22"/>
          <w:lang w:val="en-US"/>
        </w:rPr>
        <w:t xml:space="preserve"> per kilo</w:t>
      </w:r>
    </w:p>
    <w:p w:rsidR="00C00A8D" w:rsidRPr="005144CF" w:rsidRDefault="00CF5C30" w:rsidP="005144CF">
      <w:pPr>
        <w:pStyle w:val="Listenabsatz"/>
        <w:numPr>
          <w:ilvl w:val="0"/>
          <w:numId w:val="44"/>
        </w:numPr>
        <w:spacing w:line="288" w:lineRule="auto"/>
        <w:ind w:left="714" w:hanging="357"/>
        <w:rPr>
          <w:sz w:val="22"/>
          <w:lang w:val="en-US"/>
        </w:rPr>
      </w:pPr>
      <w:r w:rsidRPr="005144CF">
        <w:rPr>
          <w:sz w:val="22"/>
          <w:lang w:val="en-US"/>
        </w:rPr>
        <w:t xml:space="preserve">An </w:t>
      </w:r>
      <w:r w:rsidR="00C00A8D" w:rsidRPr="00516104">
        <w:rPr>
          <w:sz w:val="22"/>
          <w:lang w:val="en-US"/>
        </w:rPr>
        <w:t>increase</w:t>
      </w:r>
      <w:r w:rsidR="00C00A8D" w:rsidRPr="005144CF">
        <w:rPr>
          <w:sz w:val="22"/>
          <w:lang w:val="en-US"/>
        </w:rPr>
        <w:t xml:space="preserve"> in </w:t>
      </w:r>
      <w:r w:rsidRPr="005144CF">
        <w:rPr>
          <w:sz w:val="22"/>
          <w:lang w:val="en-US"/>
        </w:rPr>
        <w:t>the production of biogas of 1 m</w:t>
      </w:r>
      <w:r w:rsidRPr="005144CF">
        <w:rPr>
          <w:sz w:val="22"/>
          <w:vertAlign w:val="superscript"/>
          <w:lang w:val="en-US"/>
        </w:rPr>
        <w:t>3</w:t>
      </w:r>
      <w:r w:rsidR="00C00A8D" w:rsidRPr="005144CF">
        <w:rPr>
          <w:sz w:val="22"/>
          <w:lang w:val="en-US"/>
        </w:rPr>
        <w:t xml:space="preserve"> causes an increase in the price of wheat flour of 0.000399 USD per kilo</w:t>
      </w:r>
    </w:p>
    <w:p w:rsidR="00C00A8D" w:rsidRPr="00516104" w:rsidRDefault="00CF5C30" w:rsidP="005144CF">
      <w:pPr>
        <w:pStyle w:val="Listenabsatz"/>
        <w:numPr>
          <w:ilvl w:val="0"/>
          <w:numId w:val="44"/>
        </w:numPr>
        <w:spacing w:line="288" w:lineRule="auto"/>
        <w:ind w:left="714" w:hanging="357"/>
        <w:rPr>
          <w:rFonts w:eastAsia="Times New Roman"/>
          <w:color w:val="000000"/>
          <w:sz w:val="22"/>
          <w:lang w:val="en-US" w:eastAsia="cs-CZ"/>
        </w:rPr>
      </w:pPr>
      <w:r w:rsidRPr="00516104">
        <w:rPr>
          <w:rFonts w:eastAsia="Times New Roman"/>
          <w:color w:val="000000"/>
          <w:sz w:val="22"/>
          <w:lang w:val="en-US" w:eastAsia="cs-CZ"/>
        </w:rPr>
        <w:t>A</w:t>
      </w:r>
      <w:r w:rsidR="00C00A8D" w:rsidRPr="00516104">
        <w:rPr>
          <w:rFonts w:eastAsia="Times New Roman"/>
          <w:color w:val="000000"/>
          <w:sz w:val="22"/>
          <w:lang w:val="en-US" w:eastAsia="cs-CZ"/>
        </w:rPr>
        <w:t>n increase</w:t>
      </w:r>
      <w:r w:rsidR="00C00A8D" w:rsidRPr="005144CF">
        <w:rPr>
          <w:sz w:val="22"/>
          <w:lang w:val="en-US"/>
        </w:rPr>
        <w:t xml:space="preserve"> in the production of bioethanol of 1 </w:t>
      </w:r>
      <w:r w:rsidR="000562A0" w:rsidRPr="005144CF">
        <w:rPr>
          <w:sz w:val="22"/>
          <w:lang w:val="en-US"/>
        </w:rPr>
        <w:t>tonne</w:t>
      </w:r>
      <w:r w:rsidR="00C00A8D" w:rsidRPr="005144CF">
        <w:rPr>
          <w:sz w:val="22"/>
          <w:lang w:val="en-US"/>
        </w:rPr>
        <w:t xml:space="preserve"> causes an increase in the price of bread roll of 0.001446 USD per piece</w:t>
      </w:r>
    </w:p>
    <w:p w:rsidR="00C00A8D" w:rsidRPr="005144CF" w:rsidRDefault="00CF5C30" w:rsidP="005144CF">
      <w:pPr>
        <w:pStyle w:val="Listenabsatz"/>
        <w:numPr>
          <w:ilvl w:val="0"/>
          <w:numId w:val="44"/>
        </w:numPr>
        <w:spacing w:line="288" w:lineRule="auto"/>
        <w:ind w:left="714" w:hanging="357"/>
        <w:rPr>
          <w:sz w:val="22"/>
          <w:lang w:val="en-US"/>
        </w:rPr>
      </w:pPr>
      <w:r w:rsidRPr="00516104">
        <w:rPr>
          <w:rFonts w:eastAsia="Times New Roman"/>
          <w:color w:val="000000"/>
          <w:sz w:val="22"/>
          <w:lang w:val="en-US" w:eastAsia="cs-CZ"/>
        </w:rPr>
        <w:t>A</w:t>
      </w:r>
      <w:r w:rsidR="00C00A8D" w:rsidRPr="00516104">
        <w:rPr>
          <w:rFonts w:eastAsia="Times New Roman"/>
          <w:color w:val="000000"/>
          <w:sz w:val="22"/>
          <w:lang w:val="en-US" w:eastAsia="cs-CZ"/>
        </w:rPr>
        <w:t>n increase</w:t>
      </w:r>
      <w:r w:rsidR="00C00A8D" w:rsidRPr="005144CF">
        <w:rPr>
          <w:sz w:val="22"/>
          <w:lang w:val="en-US"/>
        </w:rPr>
        <w:t xml:space="preserve"> in the production of bioethanol of 1 </w:t>
      </w:r>
      <w:r w:rsidR="000562A0" w:rsidRPr="005144CF">
        <w:rPr>
          <w:sz w:val="22"/>
          <w:lang w:val="en-US"/>
        </w:rPr>
        <w:t xml:space="preserve">tonne </w:t>
      </w:r>
      <w:r w:rsidR="00C00A8D" w:rsidRPr="005144CF">
        <w:rPr>
          <w:sz w:val="22"/>
          <w:lang w:val="en-US"/>
        </w:rPr>
        <w:t>causes an increase in the price of bread of 0.00385 USD per kilo</w:t>
      </w:r>
    </w:p>
    <w:p w:rsidR="00C00A8D" w:rsidRPr="005144CF" w:rsidRDefault="00CF5C30" w:rsidP="005144CF">
      <w:pPr>
        <w:pStyle w:val="Listenabsatz"/>
        <w:numPr>
          <w:ilvl w:val="0"/>
          <w:numId w:val="44"/>
        </w:numPr>
        <w:spacing w:line="288" w:lineRule="auto"/>
        <w:ind w:left="714" w:hanging="357"/>
        <w:rPr>
          <w:sz w:val="22"/>
          <w:lang w:val="en-US"/>
        </w:rPr>
      </w:pPr>
      <w:r w:rsidRPr="005144CF">
        <w:rPr>
          <w:sz w:val="22"/>
          <w:lang w:val="en-US"/>
        </w:rPr>
        <w:t xml:space="preserve">An </w:t>
      </w:r>
      <w:r w:rsidR="00C00A8D" w:rsidRPr="00516104">
        <w:rPr>
          <w:rFonts w:eastAsia="Times New Roman"/>
          <w:color w:val="000000"/>
          <w:sz w:val="22"/>
          <w:lang w:val="en-US" w:eastAsia="cs-CZ"/>
        </w:rPr>
        <w:t>increase</w:t>
      </w:r>
      <w:r w:rsidR="00C00A8D" w:rsidRPr="005144CF">
        <w:rPr>
          <w:sz w:val="22"/>
          <w:lang w:val="en-US"/>
        </w:rPr>
        <w:t xml:space="preserve"> in the production of bioethanol of 1 </w:t>
      </w:r>
      <w:r w:rsidR="000562A0" w:rsidRPr="005144CF">
        <w:rPr>
          <w:sz w:val="22"/>
          <w:lang w:val="en-US"/>
        </w:rPr>
        <w:t>tonne</w:t>
      </w:r>
      <w:r w:rsidR="00C00A8D" w:rsidRPr="005144CF">
        <w:rPr>
          <w:sz w:val="22"/>
          <w:lang w:val="en-US"/>
        </w:rPr>
        <w:t xml:space="preserve"> causes an increase in the price of wheat flour of 0.00</w:t>
      </w:r>
      <w:r w:rsidR="00656FA9" w:rsidRPr="005144CF">
        <w:rPr>
          <w:sz w:val="22"/>
          <w:lang w:val="en-US"/>
        </w:rPr>
        <w:t>7009</w:t>
      </w:r>
      <w:r w:rsidR="00C00A8D" w:rsidRPr="005144CF">
        <w:rPr>
          <w:sz w:val="22"/>
          <w:lang w:val="en-US"/>
        </w:rPr>
        <w:t xml:space="preserve"> USD per kilo</w:t>
      </w:r>
    </w:p>
    <w:p w:rsidR="00CF5C30" w:rsidRDefault="00CF5C30" w:rsidP="00CF5C30">
      <w:pPr>
        <w:rPr>
          <w:lang w:val="en-US"/>
        </w:rPr>
      </w:pPr>
    </w:p>
    <w:p w:rsidR="009333AE" w:rsidRPr="004558EF" w:rsidRDefault="009333AE" w:rsidP="00CF5C30">
      <w:pPr>
        <w:rPr>
          <w:lang w:val="en-US"/>
        </w:rPr>
      </w:pPr>
      <w:r w:rsidRPr="004558EF">
        <w:rPr>
          <w:lang w:val="en-US"/>
        </w:rPr>
        <w:t xml:space="preserve">The main conclusions from our analysis in Austria are: </w:t>
      </w:r>
    </w:p>
    <w:p w:rsidR="009333AE" w:rsidRPr="006E5714" w:rsidRDefault="00CF5C30" w:rsidP="00CF5C30">
      <w:pPr>
        <w:rPr>
          <w:noProof/>
          <w:lang w:val="en-US" w:eastAsia="cs-CZ"/>
        </w:rPr>
      </w:pPr>
      <w:r>
        <w:rPr>
          <w:noProof/>
          <w:lang w:val="en-US" w:eastAsia="cs-CZ"/>
        </w:rPr>
        <w:t>B</w:t>
      </w:r>
      <w:r w:rsidR="00656FA9" w:rsidRPr="006E5714">
        <w:rPr>
          <w:noProof/>
          <w:lang w:val="en-US" w:eastAsia="cs-CZ"/>
        </w:rPr>
        <w:t>iogas production has the highest influence on the price of bread roll, bread and wheat flour, but mainly on the FAO prices of barley and wheat.</w:t>
      </w:r>
    </w:p>
    <w:p w:rsidR="00B54090" w:rsidRPr="00791C10" w:rsidRDefault="00B54090" w:rsidP="00791C10">
      <w:pPr>
        <w:pStyle w:val="Listenabsatz"/>
        <w:numPr>
          <w:ilvl w:val="0"/>
          <w:numId w:val="37"/>
        </w:numPr>
        <w:spacing w:line="24" w:lineRule="atLeast"/>
        <w:ind w:left="714" w:hanging="357"/>
        <w:rPr>
          <w:noProof/>
          <w:sz w:val="22"/>
          <w:lang w:val="en-US" w:eastAsia="cs-CZ"/>
        </w:rPr>
      </w:pPr>
      <w:r w:rsidRPr="00791C10">
        <w:rPr>
          <w:noProof/>
          <w:sz w:val="22"/>
          <w:lang w:val="en-US" w:eastAsia="cs-CZ"/>
        </w:rPr>
        <w:t xml:space="preserve">the production of  biodiesel has a very low effect on prices (even negative influence on the price of bread) </w:t>
      </w:r>
    </w:p>
    <w:p w:rsidR="00791C10" w:rsidRPr="00791C10" w:rsidRDefault="00B54090" w:rsidP="00791C10">
      <w:pPr>
        <w:pStyle w:val="Listenabsatz"/>
        <w:numPr>
          <w:ilvl w:val="0"/>
          <w:numId w:val="37"/>
        </w:numPr>
        <w:spacing w:line="24" w:lineRule="atLeast"/>
        <w:ind w:left="714" w:hanging="357"/>
        <w:rPr>
          <w:noProof/>
          <w:sz w:val="22"/>
          <w:lang w:val="en-US" w:eastAsia="cs-CZ"/>
        </w:rPr>
      </w:pPr>
      <w:r w:rsidRPr="00791C10">
        <w:rPr>
          <w:noProof/>
          <w:sz w:val="22"/>
          <w:lang w:val="en-US" w:eastAsia="cs-CZ"/>
        </w:rPr>
        <w:t>the production of bioethanol also has an effect on prices close to zero.</w:t>
      </w:r>
    </w:p>
    <w:p w:rsidR="009333AE" w:rsidRPr="00791C10" w:rsidRDefault="00791C10" w:rsidP="00791C10">
      <w:pPr>
        <w:pStyle w:val="Listenabsatz"/>
        <w:numPr>
          <w:ilvl w:val="0"/>
          <w:numId w:val="37"/>
        </w:numPr>
        <w:spacing w:line="24" w:lineRule="atLeast"/>
        <w:ind w:left="714" w:hanging="357"/>
        <w:rPr>
          <w:noProof/>
          <w:sz w:val="22"/>
          <w:lang w:val="en-US" w:eastAsia="cs-CZ"/>
        </w:rPr>
      </w:pPr>
      <w:r w:rsidRPr="00791C10">
        <w:rPr>
          <w:noProof/>
          <w:sz w:val="22"/>
          <w:lang w:val="en-US" w:eastAsia="cs-CZ"/>
        </w:rPr>
        <w:t>W</w:t>
      </w:r>
      <w:r w:rsidR="00C00A8D" w:rsidRPr="00791C10">
        <w:rPr>
          <w:noProof/>
          <w:sz w:val="22"/>
          <w:lang w:val="en-US" w:eastAsia="cs-CZ"/>
        </w:rPr>
        <w:t xml:space="preserve">hy </w:t>
      </w:r>
      <w:r>
        <w:rPr>
          <w:noProof/>
          <w:sz w:val="22"/>
          <w:lang w:val="en-US" w:eastAsia="cs-CZ"/>
        </w:rPr>
        <w:t>is the production of biogas so important? B</w:t>
      </w:r>
      <w:r w:rsidR="00C00A8D" w:rsidRPr="00791C10">
        <w:rPr>
          <w:noProof/>
          <w:sz w:val="22"/>
          <w:lang w:val="en-US" w:eastAsia="cs-CZ"/>
        </w:rPr>
        <w:t xml:space="preserve">ecause of the </w:t>
      </w:r>
      <w:r w:rsidR="00B54090" w:rsidRPr="00791C10">
        <w:rPr>
          <w:noProof/>
          <w:sz w:val="22"/>
          <w:lang w:val="en-US" w:eastAsia="cs-CZ"/>
        </w:rPr>
        <w:t>c</w:t>
      </w:r>
      <w:r w:rsidR="00C00A8D" w:rsidRPr="00791C10">
        <w:rPr>
          <w:noProof/>
          <w:sz w:val="22"/>
          <w:lang w:val="en-US" w:eastAsia="cs-CZ"/>
        </w:rPr>
        <w:t>ons</w:t>
      </w:r>
      <w:r>
        <w:rPr>
          <w:noProof/>
          <w:sz w:val="22"/>
          <w:lang w:val="en-US" w:eastAsia="cs-CZ"/>
        </w:rPr>
        <w:t>umption in agriculture?</w:t>
      </w:r>
    </w:p>
    <w:p w:rsidR="0059776C" w:rsidRDefault="0059776C" w:rsidP="007139D2">
      <w:pPr>
        <w:pStyle w:val="berschrift2"/>
        <w:rPr>
          <w:lang w:val="en-US"/>
        </w:rPr>
      </w:pPr>
    </w:p>
    <w:p w:rsidR="009333AE" w:rsidRPr="007139D2" w:rsidRDefault="009333AE" w:rsidP="007139D2">
      <w:pPr>
        <w:pStyle w:val="berschrift2"/>
        <w:rPr>
          <w:lang w:val="en-US"/>
        </w:rPr>
      </w:pPr>
      <w:bookmarkStart w:id="30" w:name="_Toc294469079"/>
      <w:r w:rsidRPr="007139D2">
        <w:rPr>
          <w:lang w:val="en-US"/>
        </w:rPr>
        <w:t>Biofuels in the Czech Republic</w:t>
      </w:r>
      <w:bookmarkEnd w:id="30"/>
    </w:p>
    <w:p w:rsidR="009333AE" w:rsidRPr="004558EF" w:rsidRDefault="009333AE" w:rsidP="00D610E7">
      <w:pPr>
        <w:rPr>
          <w:lang w:val="en-US"/>
        </w:rPr>
      </w:pPr>
      <w:r w:rsidRPr="004558EF">
        <w:rPr>
          <w:lang w:val="en-US"/>
        </w:rPr>
        <w:lastRenderedPageBreak/>
        <w:t>Biofuels in the Czech Republic have a long tradition. From 1992 the production of rapeseed oil methyl ester (FAME) for automotive fuel purposes has been increasing at the higher and higher annual growth rate thanks to financial subsidies, subsidized loans, grants, subsidized price of  rapeseed, etc. Big production capacity was build during the early period. Actually, there is any direct subsidy to biofuels industry or to farmers of biofuels’ plants no more. In the following sections the current legislation and situation in the Czech biofuels market will be covered.</w:t>
      </w:r>
    </w:p>
    <w:p w:rsidR="009333AE" w:rsidRPr="00D610E7" w:rsidRDefault="009333AE" w:rsidP="007139D2">
      <w:pPr>
        <w:pStyle w:val="berschrift3"/>
      </w:pPr>
      <w:bookmarkStart w:id="31" w:name="_Toc294469080"/>
      <w:r w:rsidRPr="00D610E7">
        <w:t>Legislation about biofuels</w:t>
      </w:r>
      <w:bookmarkEnd w:id="31"/>
    </w:p>
    <w:p w:rsidR="009333AE" w:rsidRPr="005130E4" w:rsidRDefault="009333AE" w:rsidP="00D610E7">
      <w:pPr>
        <w:rPr>
          <w:color w:val="888888"/>
        </w:rPr>
      </w:pPr>
      <w:r w:rsidRPr="005130E4">
        <w:t xml:space="preserve">According to the act No. 172/2010 Coll. of 29 April 2010 </w:t>
      </w:r>
      <w:r w:rsidR="003757A5">
        <w:t>(</w:t>
      </w:r>
      <w:r w:rsidRPr="005130E4">
        <w:t>amending the Act No. 86/2002 Coll.</w:t>
      </w:r>
      <w:r w:rsidR="003757A5">
        <w:t>)</w:t>
      </w:r>
      <w:r w:rsidRPr="005130E4">
        <w:t xml:space="preserve"> on air protection and amendment of s</w:t>
      </w:r>
      <w:r w:rsidR="003757A5">
        <w:t>ome laws (the Clean Air Act), from the 1</w:t>
      </w:r>
      <w:r w:rsidR="003757A5" w:rsidRPr="003757A5">
        <w:rPr>
          <w:vertAlign w:val="superscript"/>
        </w:rPr>
        <w:t>st</w:t>
      </w:r>
      <w:r w:rsidR="003757A5">
        <w:t xml:space="preserve"> of </w:t>
      </w:r>
      <w:r w:rsidRPr="005130E4">
        <w:t xml:space="preserve"> June the content of biofuel in gasoline, </w:t>
      </w:r>
      <w:r w:rsidR="003757A5">
        <w:t>more precisely</w:t>
      </w:r>
      <w:r w:rsidRPr="005130E4">
        <w:t xml:space="preserve"> bioethanol, is set at 4.1%</w:t>
      </w:r>
      <w:r w:rsidR="003757A5">
        <w:t xml:space="preserve"> </w:t>
      </w:r>
      <w:r w:rsidRPr="005130E4">
        <w:t>of the total volume</w:t>
      </w:r>
      <w:r w:rsidR="003D424E" w:rsidRPr="005130E4">
        <w:t xml:space="preserve"> </w:t>
      </w:r>
      <w:r w:rsidRPr="005130E4">
        <w:t xml:space="preserve">of motor gasoline </w:t>
      </w:r>
      <w:r w:rsidR="003757A5">
        <w:t>blended with</w:t>
      </w:r>
      <w:r w:rsidRPr="005130E4">
        <w:t xml:space="preserve"> motor fuels; </w:t>
      </w:r>
      <w:r w:rsidR="003757A5">
        <w:t>in</w:t>
      </w:r>
      <w:r w:rsidRPr="005130E4">
        <w:t xml:space="preserve"> form of low-percentage </w:t>
      </w:r>
      <w:r w:rsidR="003D424E" w:rsidRPr="005130E4">
        <w:t>blends</w:t>
      </w:r>
      <w:r w:rsidRPr="005130E4">
        <w:t xml:space="preserve"> it must be at maximum </w:t>
      </w:r>
      <w:r w:rsidR="003757A5">
        <w:t>of</w:t>
      </w:r>
      <w:r w:rsidRPr="005130E4">
        <w:t xml:space="preserve"> 5% of volume (without exceeding the amount of oxygen content at the maximum of 2.7% by weight); and the content of biofuel in diesel must be 6% of the total volume of diesel fuel </w:t>
      </w:r>
      <w:r w:rsidR="003757A5">
        <w:t>blended with</w:t>
      </w:r>
      <w:r w:rsidRPr="005130E4">
        <w:t xml:space="preserve"> diesel oil; by the form of low-percentage additions it shall not</w:t>
      </w:r>
      <w:r w:rsidRPr="004558EF">
        <w:rPr>
          <w:lang w:val="en-US"/>
        </w:rPr>
        <w:t xml:space="preserve"> exceed the maximum fixed proportion of 7% by volume. The list of all legislation connected to t</w:t>
      </w:r>
      <w:r w:rsidR="0059776C">
        <w:rPr>
          <w:lang w:val="en-US"/>
        </w:rPr>
        <w:t>he biofuels can be found in the Appendix</w:t>
      </w:r>
      <w:r w:rsidRPr="004558EF">
        <w:rPr>
          <w:lang w:val="en-US"/>
        </w:rPr>
        <w:t>.</w:t>
      </w:r>
      <w:r w:rsidR="005130E4">
        <w:rPr>
          <w:color w:val="888888"/>
        </w:rPr>
        <w:t xml:space="preserve"> </w:t>
      </w:r>
      <w:r w:rsidRPr="004558EF">
        <w:rPr>
          <w:lang w:val="en-US"/>
        </w:rPr>
        <w:t>Subsidies directly connected with the energetic plants intended to produce biofuels paid to the farmers was abolished beginning from the year 2010. The only subsidy that the biofuel plant farmers can receive is SAPS.</w:t>
      </w:r>
      <w:r w:rsidR="005130E4">
        <w:rPr>
          <w:color w:val="888888"/>
        </w:rPr>
        <w:t xml:space="preserve"> </w:t>
      </w:r>
      <w:r w:rsidRPr="004558EF">
        <w:rPr>
          <w:lang w:val="en-US"/>
        </w:rPr>
        <w:t xml:space="preserve">The list of energetic plants that are subjects to subsidies payment according to the </w:t>
      </w:r>
      <w:r w:rsidRPr="004558EF">
        <w:rPr>
          <w:rStyle w:val="longtext"/>
          <w:rFonts w:cs="Arial"/>
          <w:color w:val="000000"/>
          <w:shd w:val="clear" w:color="auto" w:fill="FFFFFF"/>
          <w:lang w:val="en-US"/>
        </w:rPr>
        <w:t>Government Regulation No. 333/2007 Coll.</w:t>
      </w:r>
      <w:r w:rsidRPr="004558EF">
        <w:rPr>
          <w:lang w:val="en-US"/>
        </w:rPr>
        <w:t xml:space="preserve"> </w:t>
      </w:r>
      <w:r w:rsidRPr="004558EF">
        <w:rPr>
          <w:rStyle w:val="longtext"/>
          <w:rFonts w:cs="Arial"/>
          <w:color w:val="000000"/>
          <w:shd w:val="clear" w:color="auto" w:fill="FFFFFF"/>
          <w:lang w:val="en-US"/>
        </w:rPr>
        <w:t xml:space="preserve">amending Decree No. 80/2007 Coll. </w:t>
      </w:r>
      <w:r w:rsidR="000D7A3D">
        <w:rPr>
          <w:lang w:val="en-US"/>
        </w:rPr>
        <w:t>§ 3 par.5 is in the Appendix</w:t>
      </w:r>
      <w:r w:rsidRPr="004558EF">
        <w:rPr>
          <w:lang w:val="en-US"/>
        </w:rPr>
        <w:t>.</w:t>
      </w:r>
    </w:p>
    <w:p w:rsidR="009333AE" w:rsidRPr="00D610E7" w:rsidRDefault="009333AE" w:rsidP="007139D2">
      <w:pPr>
        <w:pStyle w:val="berschrift3"/>
      </w:pPr>
      <w:bookmarkStart w:id="32" w:name="_Toc294469081"/>
      <w:r w:rsidRPr="00D610E7">
        <w:t>Biofuels production</w:t>
      </w:r>
      <w:bookmarkEnd w:id="32"/>
    </w:p>
    <w:p w:rsidR="009333AE" w:rsidRPr="004270BF" w:rsidRDefault="009333AE" w:rsidP="00D610E7">
      <w:pPr>
        <w:rPr>
          <w:bCs/>
          <w:iCs/>
          <w:lang w:val="en-US" w:eastAsia="cs-CZ"/>
        </w:rPr>
      </w:pPr>
      <w:r w:rsidRPr="004558EF">
        <w:rPr>
          <w:lang w:val="en-US"/>
        </w:rPr>
        <w:t xml:space="preserve">In the Czech Republic </w:t>
      </w:r>
      <w:r w:rsidR="003D424E">
        <w:rPr>
          <w:lang w:val="en-US"/>
        </w:rPr>
        <w:t>biodiesel in the form of FAME (</w:t>
      </w:r>
      <w:r w:rsidRPr="004558EF">
        <w:rPr>
          <w:lang w:val="en-US"/>
        </w:rPr>
        <w:t>fatty acid methyl ester</w:t>
      </w:r>
      <w:r w:rsidR="003D424E">
        <w:rPr>
          <w:lang w:val="en-US"/>
        </w:rPr>
        <w:t>)</w:t>
      </w:r>
      <w:r w:rsidRPr="004558EF">
        <w:rPr>
          <w:lang w:val="en-US"/>
        </w:rPr>
        <w:t xml:space="preserve"> from rapeseed oil is produced more than bioethanol from sugar cane, because the Czech legislation </w:t>
      </w:r>
      <w:r w:rsidR="0059776C">
        <w:rPr>
          <w:lang w:val="en-US"/>
        </w:rPr>
        <w:t>did</w:t>
      </w:r>
      <w:r w:rsidRPr="004558EF">
        <w:rPr>
          <w:lang w:val="en-US"/>
        </w:rPr>
        <w:t xml:space="preserve"> not set any priority which type of biofuel the Czech Republic </w:t>
      </w:r>
      <w:r w:rsidR="0059776C">
        <w:rPr>
          <w:lang w:val="en-US"/>
        </w:rPr>
        <w:t>should be produced in the future, therefore</w:t>
      </w:r>
      <w:r w:rsidRPr="004558EF">
        <w:rPr>
          <w:lang w:val="en-US"/>
        </w:rPr>
        <w:t xml:space="preserve"> producers started with FAME. Also biodiesel is more </w:t>
      </w:r>
      <w:r w:rsidR="0059776C">
        <w:rPr>
          <w:lang w:val="en-US"/>
        </w:rPr>
        <w:t>adequate</w:t>
      </w:r>
      <w:r w:rsidRPr="004558EF">
        <w:rPr>
          <w:lang w:val="en-US"/>
        </w:rPr>
        <w:t xml:space="preserve"> for European countries. However, bioethanol is much more used worldwide. So in 2006 the Czech producers started also bioethanol production from sugar cane. </w:t>
      </w:r>
      <w:r w:rsidR="0059776C">
        <w:rPr>
          <w:noProof/>
          <w:lang w:eastAsia="cs-CZ"/>
        </w:rPr>
        <w:t>Emissions from the c</w:t>
      </w:r>
      <w:r w:rsidRPr="004558EF">
        <w:rPr>
          <w:noProof/>
          <w:lang w:eastAsia="cs-CZ"/>
        </w:rPr>
        <w:t xml:space="preserve">zech biopetrol (FAME) in large </w:t>
      </w:r>
      <w:r w:rsidR="0059776C">
        <w:rPr>
          <w:noProof/>
          <w:lang w:eastAsia="cs-CZ"/>
        </w:rPr>
        <w:t>utilities</w:t>
      </w:r>
      <w:r w:rsidRPr="004558EF">
        <w:rPr>
          <w:noProof/>
          <w:lang w:eastAsia="cs-CZ"/>
        </w:rPr>
        <w:t xml:space="preserve"> in the Czech Republic are lower than </w:t>
      </w:r>
      <w:r w:rsidRPr="004558EF">
        <w:rPr>
          <w:noProof/>
          <w:lang w:val="en-US" w:eastAsia="cs-CZ"/>
        </w:rPr>
        <w:t>from sta</w:t>
      </w:r>
      <w:r w:rsidR="0059776C">
        <w:rPr>
          <w:noProof/>
          <w:lang w:val="en-US" w:eastAsia="cs-CZ"/>
        </w:rPr>
        <w:t>ndard petrol by about 45%. M</w:t>
      </w:r>
      <w:r w:rsidRPr="004558EF">
        <w:rPr>
          <w:noProof/>
          <w:lang w:val="en-US" w:eastAsia="cs-CZ"/>
        </w:rPr>
        <w:t>ost emissions in terms of grams of CO</w:t>
      </w:r>
      <w:r w:rsidRPr="005144CF">
        <w:rPr>
          <w:noProof/>
          <w:vertAlign w:val="subscript"/>
          <w:lang w:val="en-US" w:eastAsia="cs-CZ"/>
        </w:rPr>
        <w:t>2</w:t>
      </w:r>
      <w:r w:rsidRPr="004558EF">
        <w:rPr>
          <w:noProof/>
          <w:lang w:val="en-US" w:eastAsia="cs-CZ"/>
        </w:rPr>
        <w:t xml:space="preserve"> equivalent per MJ (</w:t>
      </w:r>
      <w:r w:rsidR="005144CF">
        <w:rPr>
          <w:bCs/>
          <w:iCs/>
          <w:lang w:val="en-US" w:eastAsia="cs-CZ"/>
        </w:rPr>
        <w:t>gCO</w:t>
      </w:r>
      <w:r w:rsidR="005144CF" w:rsidRPr="005144CF">
        <w:rPr>
          <w:bCs/>
          <w:iCs/>
          <w:vertAlign w:val="subscript"/>
          <w:lang w:val="en-US" w:eastAsia="cs-CZ"/>
        </w:rPr>
        <w:t>2</w:t>
      </w:r>
      <w:r w:rsidRPr="004558EF">
        <w:rPr>
          <w:bCs/>
          <w:iCs/>
          <w:lang w:val="en-US" w:eastAsia="cs-CZ"/>
        </w:rPr>
        <w:t>eq/MJ) are emitted during t</w:t>
      </w:r>
      <w:r w:rsidR="004270BF">
        <w:rPr>
          <w:bCs/>
          <w:iCs/>
          <w:lang w:val="en-US" w:eastAsia="cs-CZ"/>
        </w:rPr>
        <w:t xml:space="preserve">he cultivation of rapeseed (29g </w:t>
      </w:r>
      <w:r w:rsidRPr="004558EF">
        <w:rPr>
          <w:bCs/>
          <w:iCs/>
          <w:lang w:val="en-US" w:eastAsia="cs-CZ"/>
        </w:rPr>
        <w:t>CO</w:t>
      </w:r>
      <w:r w:rsidRPr="005144CF">
        <w:rPr>
          <w:bCs/>
          <w:iCs/>
          <w:vertAlign w:val="subscript"/>
          <w:lang w:val="en-US" w:eastAsia="cs-CZ"/>
        </w:rPr>
        <w:t>2</w:t>
      </w:r>
      <w:r w:rsidR="004270BF">
        <w:rPr>
          <w:bCs/>
          <w:iCs/>
          <w:lang w:val="en-US" w:eastAsia="cs-CZ"/>
        </w:rPr>
        <w:t>eq/MJ from total 45,4</w:t>
      </w:r>
      <w:r w:rsidRPr="004558EF">
        <w:rPr>
          <w:bCs/>
          <w:iCs/>
          <w:lang w:val="en-US" w:eastAsia="cs-CZ"/>
        </w:rPr>
        <w:t>g</w:t>
      </w:r>
      <w:r w:rsidR="004270BF">
        <w:rPr>
          <w:bCs/>
          <w:iCs/>
          <w:lang w:val="en-US" w:eastAsia="cs-CZ"/>
        </w:rPr>
        <w:t xml:space="preserve"> </w:t>
      </w:r>
      <w:r w:rsidRPr="004558EF">
        <w:rPr>
          <w:bCs/>
          <w:iCs/>
          <w:lang w:val="en-US" w:eastAsia="cs-CZ"/>
        </w:rPr>
        <w:t>CO2eq/MJ), then during the production of FAME (9,</w:t>
      </w:r>
      <w:r w:rsidR="004270BF">
        <w:rPr>
          <w:bCs/>
          <w:iCs/>
          <w:lang w:val="en-US" w:eastAsia="cs-CZ"/>
        </w:rPr>
        <w:t>9</w:t>
      </w:r>
      <w:r w:rsidRPr="004558EF">
        <w:rPr>
          <w:bCs/>
          <w:iCs/>
          <w:lang w:val="en-US" w:eastAsia="cs-CZ"/>
        </w:rPr>
        <w:t>g</w:t>
      </w:r>
      <w:r w:rsidR="004270BF">
        <w:rPr>
          <w:bCs/>
          <w:iCs/>
          <w:lang w:val="en-US" w:eastAsia="cs-CZ"/>
        </w:rPr>
        <w:t xml:space="preserve"> </w:t>
      </w:r>
      <w:r w:rsidRPr="004558EF">
        <w:rPr>
          <w:bCs/>
          <w:iCs/>
          <w:lang w:val="en-US" w:eastAsia="cs-CZ"/>
        </w:rPr>
        <w:t>CO</w:t>
      </w:r>
      <w:r w:rsidRPr="005144CF">
        <w:rPr>
          <w:bCs/>
          <w:iCs/>
          <w:vertAlign w:val="subscript"/>
          <w:lang w:val="en-US" w:eastAsia="cs-CZ"/>
        </w:rPr>
        <w:t>2</w:t>
      </w:r>
      <w:r w:rsidRPr="004558EF">
        <w:rPr>
          <w:bCs/>
          <w:iCs/>
          <w:lang w:val="en-US" w:eastAsia="cs-CZ"/>
        </w:rPr>
        <w:t>eq/MJ), during the production of rapeseed oil (5,5 gCO</w:t>
      </w:r>
      <w:r w:rsidRPr="005144CF">
        <w:rPr>
          <w:bCs/>
          <w:iCs/>
          <w:vertAlign w:val="subscript"/>
          <w:lang w:val="en-US" w:eastAsia="cs-CZ"/>
        </w:rPr>
        <w:t>2</w:t>
      </w:r>
      <w:r w:rsidR="004270BF">
        <w:rPr>
          <w:bCs/>
          <w:iCs/>
          <w:lang w:val="en-US" w:eastAsia="cs-CZ"/>
        </w:rPr>
        <w:t xml:space="preserve">eq/MJ) and it is emitted </w:t>
      </w:r>
      <w:r w:rsidRPr="004558EF">
        <w:rPr>
          <w:bCs/>
          <w:iCs/>
          <w:lang w:val="en-US" w:eastAsia="cs-CZ"/>
        </w:rPr>
        <w:t>1g</w:t>
      </w:r>
      <w:r w:rsidR="004270BF">
        <w:rPr>
          <w:bCs/>
          <w:iCs/>
          <w:lang w:val="en-US" w:eastAsia="cs-CZ"/>
        </w:rPr>
        <w:t xml:space="preserve"> </w:t>
      </w:r>
      <w:r w:rsidRPr="004558EF">
        <w:rPr>
          <w:bCs/>
          <w:iCs/>
          <w:lang w:val="en-US" w:eastAsia="cs-CZ"/>
        </w:rPr>
        <w:t>CO</w:t>
      </w:r>
      <w:r w:rsidRPr="005144CF">
        <w:rPr>
          <w:bCs/>
          <w:iCs/>
          <w:vertAlign w:val="subscript"/>
          <w:lang w:val="en-US" w:eastAsia="cs-CZ"/>
        </w:rPr>
        <w:t>2</w:t>
      </w:r>
      <w:r w:rsidRPr="004558EF">
        <w:rPr>
          <w:bCs/>
          <w:iCs/>
          <w:lang w:val="en-US" w:eastAsia="cs-CZ"/>
        </w:rPr>
        <w:t>eq/MJ during the last phase – transportation and distribution</w:t>
      </w:r>
      <w:r w:rsidRPr="004558EF">
        <w:rPr>
          <w:rStyle w:val="Funotenzeichen"/>
          <w:rFonts w:cs="Arial"/>
          <w:bCs/>
          <w:iCs/>
          <w:lang w:val="en-US" w:eastAsia="cs-CZ"/>
        </w:rPr>
        <w:footnoteReference w:id="25"/>
      </w:r>
      <w:r w:rsidRPr="004558EF">
        <w:rPr>
          <w:bCs/>
          <w:iCs/>
          <w:lang w:val="en-US" w:eastAsia="cs-CZ"/>
        </w:rPr>
        <w:t xml:space="preserve">.  </w:t>
      </w:r>
      <w:r w:rsidRPr="004558EF">
        <w:rPr>
          <w:lang w:val="en-US"/>
        </w:rPr>
        <w:t>The sewing areas for rape including rapeseed has rather increasing trend with actual 368.824 thousands hectares, but sewing areas of industrial sugar beet record small decreasing trend to actual 56.388 thousands hectares in 2010.</w:t>
      </w:r>
    </w:p>
    <w:p w:rsidR="00CD2294" w:rsidRPr="004558EF" w:rsidRDefault="00CD2294" w:rsidP="00D610E7">
      <w:pPr>
        <w:rPr>
          <w:noProof/>
          <w:lang w:val="en-US" w:eastAsia="cs-CZ"/>
        </w:rPr>
      </w:pPr>
    </w:p>
    <w:p w:rsidR="00CD2294" w:rsidRDefault="00E67354" w:rsidP="00CD2294">
      <w:pPr>
        <w:jc w:val="center"/>
      </w:pPr>
      <w:r w:rsidRPr="004558EF">
        <w:rPr>
          <w:noProof/>
          <w:lang w:val="de-AT" w:eastAsia="de-AT"/>
        </w:rPr>
        <w:lastRenderedPageBreak/>
        <w:drawing>
          <wp:inline distT="0" distB="0" distL="0" distR="0">
            <wp:extent cx="4851687" cy="2500080"/>
            <wp:effectExtent l="10613" t="4995" r="4975" b="0"/>
            <wp:docPr id="7" name="Bild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C4350" w:rsidRDefault="00CD2294" w:rsidP="002C4350">
      <w:pPr>
        <w:jc w:val="center"/>
        <w:rPr>
          <w:b/>
          <w:sz w:val="18"/>
          <w:szCs w:val="18"/>
          <w:lang w:val="en-US"/>
        </w:rPr>
      </w:pPr>
      <w:bookmarkStart w:id="33" w:name="_Toc294469010"/>
      <w:r w:rsidRPr="00CD2294">
        <w:rPr>
          <w:b/>
          <w:sz w:val="18"/>
          <w:szCs w:val="18"/>
        </w:rPr>
        <w:t xml:space="preserve">Figure </w:t>
      </w:r>
      <w:r w:rsidR="002A0101" w:rsidRPr="00CD2294">
        <w:rPr>
          <w:b/>
          <w:sz w:val="18"/>
          <w:szCs w:val="18"/>
        </w:rPr>
        <w:fldChar w:fldCharType="begin"/>
      </w:r>
      <w:r w:rsidRPr="00CD2294">
        <w:rPr>
          <w:b/>
          <w:sz w:val="18"/>
          <w:szCs w:val="18"/>
        </w:rPr>
        <w:instrText xml:space="preserve"> SEQ Figure \* ARABIC </w:instrText>
      </w:r>
      <w:r w:rsidR="002A0101" w:rsidRPr="00CD2294">
        <w:rPr>
          <w:b/>
          <w:sz w:val="18"/>
          <w:szCs w:val="18"/>
        </w:rPr>
        <w:fldChar w:fldCharType="separate"/>
      </w:r>
      <w:r w:rsidR="00904569">
        <w:rPr>
          <w:b/>
          <w:noProof/>
          <w:sz w:val="18"/>
          <w:szCs w:val="18"/>
        </w:rPr>
        <w:t>9</w:t>
      </w:r>
      <w:r w:rsidR="002A0101" w:rsidRPr="00CD2294">
        <w:rPr>
          <w:b/>
          <w:sz w:val="18"/>
          <w:szCs w:val="18"/>
        </w:rPr>
        <w:fldChar w:fldCharType="end"/>
      </w:r>
      <w:r w:rsidR="0095044E">
        <w:rPr>
          <w:b/>
          <w:sz w:val="18"/>
          <w:szCs w:val="18"/>
        </w:rPr>
        <w:t>:</w:t>
      </w:r>
      <w:r w:rsidRPr="00CD2294">
        <w:rPr>
          <w:b/>
          <w:sz w:val="18"/>
          <w:szCs w:val="18"/>
          <w:lang w:val="en-US"/>
        </w:rPr>
        <w:t xml:space="preserve"> Sewing areas of rape and sugar be</w:t>
      </w:r>
      <w:r w:rsidR="002C4350">
        <w:rPr>
          <w:b/>
          <w:sz w:val="18"/>
          <w:szCs w:val="18"/>
          <w:lang w:val="en-US"/>
        </w:rPr>
        <w:t>et in the Czech Republic in ha</w:t>
      </w:r>
      <w:r w:rsidR="00E26170">
        <w:rPr>
          <w:rStyle w:val="Funotenzeichen"/>
          <w:b/>
          <w:sz w:val="18"/>
          <w:szCs w:val="18"/>
          <w:lang w:val="en-US"/>
        </w:rPr>
        <w:footnoteReference w:id="26"/>
      </w:r>
      <w:bookmarkEnd w:id="33"/>
    </w:p>
    <w:p w:rsidR="002C4350" w:rsidRDefault="002C4350" w:rsidP="00D610E7">
      <w:pPr>
        <w:rPr>
          <w:noProof/>
          <w:lang w:eastAsia="cs-CZ"/>
        </w:rPr>
      </w:pPr>
    </w:p>
    <w:p w:rsidR="009333AE" w:rsidRPr="004558EF" w:rsidRDefault="009333AE" w:rsidP="00D610E7">
      <w:pPr>
        <w:rPr>
          <w:noProof/>
          <w:lang w:eastAsia="cs-CZ"/>
        </w:rPr>
      </w:pPr>
      <w:r w:rsidRPr="004558EF">
        <w:rPr>
          <w:noProof/>
          <w:lang w:eastAsia="cs-CZ"/>
        </w:rPr>
        <w:t xml:space="preserve">The yield per hectare for industrial sugar beet registers an increasing trend to 57.91 t/ha in 2009. However, yield per hectare for rape (including rapeseed) is rather stable with only little </w:t>
      </w:r>
      <w:r w:rsidR="00721FD9">
        <w:rPr>
          <w:noProof/>
          <w:lang w:eastAsia="cs-CZ"/>
        </w:rPr>
        <w:t>improvement</w:t>
      </w:r>
      <w:r w:rsidRPr="004558EF">
        <w:rPr>
          <w:noProof/>
          <w:lang w:eastAsia="cs-CZ"/>
        </w:rPr>
        <w:t xml:space="preserve"> to 3.18 t/ha in 2009.</w:t>
      </w:r>
    </w:p>
    <w:p w:rsidR="00CD2294" w:rsidRDefault="00E67354" w:rsidP="00CD2294">
      <w:pPr>
        <w:jc w:val="center"/>
      </w:pPr>
      <w:r w:rsidRPr="004558EF">
        <w:rPr>
          <w:noProof/>
          <w:lang w:val="de-AT" w:eastAsia="de-AT"/>
        </w:rPr>
        <w:drawing>
          <wp:inline distT="0" distB="0" distL="0" distR="0">
            <wp:extent cx="4556682" cy="2641702"/>
            <wp:effectExtent l="19050" t="0" r="15318" b="6248"/>
            <wp:docPr id="8" name="Graf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333AE" w:rsidRPr="00CD2294" w:rsidRDefault="00CD2294" w:rsidP="00CD2294">
      <w:pPr>
        <w:pStyle w:val="Beschriftung"/>
        <w:jc w:val="center"/>
        <w:rPr>
          <w:noProof/>
          <w:color w:val="auto"/>
          <w:lang w:eastAsia="cs-CZ"/>
        </w:rPr>
      </w:pPr>
      <w:bookmarkStart w:id="34" w:name="_Toc294469011"/>
      <w:r w:rsidRPr="00CD2294">
        <w:rPr>
          <w:color w:val="auto"/>
        </w:rPr>
        <w:t xml:space="preserve">Figure </w:t>
      </w:r>
      <w:r w:rsidR="002A0101" w:rsidRPr="00CD2294">
        <w:rPr>
          <w:color w:val="auto"/>
        </w:rPr>
        <w:fldChar w:fldCharType="begin"/>
      </w:r>
      <w:r w:rsidRPr="00CD2294">
        <w:rPr>
          <w:color w:val="auto"/>
        </w:rPr>
        <w:instrText xml:space="preserve"> SEQ Figure \* ARABIC </w:instrText>
      </w:r>
      <w:r w:rsidR="002A0101" w:rsidRPr="00CD2294">
        <w:rPr>
          <w:color w:val="auto"/>
        </w:rPr>
        <w:fldChar w:fldCharType="separate"/>
      </w:r>
      <w:r w:rsidR="00904569">
        <w:rPr>
          <w:noProof/>
          <w:color w:val="auto"/>
        </w:rPr>
        <w:t>10</w:t>
      </w:r>
      <w:r w:rsidR="002A0101" w:rsidRPr="00CD2294">
        <w:rPr>
          <w:color w:val="auto"/>
        </w:rPr>
        <w:fldChar w:fldCharType="end"/>
      </w:r>
      <w:r w:rsidR="002C4350">
        <w:rPr>
          <w:color w:val="auto"/>
        </w:rPr>
        <w:t xml:space="preserve">: </w:t>
      </w:r>
      <w:r w:rsidRPr="00CD2294">
        <w:rPr>
          <w:color w:val="auto"/>
          <w:lang w:val="en-US"/>
        </w:rPr>
        <w:t>Yield per hectare for rape and sugar beet in the Czech Republic in t</w:t>
      </w:r>
      <w:bookmarkEnd w:id="34"/>
    </w:p>
    <w:p w:rsidR="002C4350" w:rsidRPr="002C4350" w:rsidRDefault="002C4350" w:rsidP="002C4350">
      <w:pPr>
        <w:jc w:val="center"/>
        <w:rPr>
          <w:sz w:val="18"/>
          <w:szCs w:val="18"/>
          <w:lang w:val="en-US"/>
        </w:rPr>
      </w:pPr>
      <w:r w:rsidRPr="002C4350">
        <w:rPr>
          <w:noProof/>
          <w:sz w:val="18"/>
          <w:szCs w:val="18"/>
          <w:lang w:eastAsia="cs-CZ"/>
        </w:rPr>
        <w:t xml:space="preserve">Data source: </w:t>
      </w:r>
      <w:r w:rsidRPr="002C4350">
        <w:rPr>
          <w:sz w:val="18"/>
          <w:szCs w:val="18"/>
          <w:lang w:val="en-US"/>
        </w:rPr>
        <w:t>ČSÚ, Czech Statistical Office</w:t>
      </w:r>
    </w:p>
    <w:p w:rsidR="009333AE" w:rsidRPr="004558EF" w:rsidRDefault="009333AE" w:rsidP="00D610E7">
      <w:pPr>
        <w:rPr>
          <w:noProof/>
          <w:lang w:eastAsia="cs-CZ"/>
        </w:rPr>
      </w:pPr>
      <w:r w:rsidRPr="004558EF">
        <w:rPr>
          <w:noProof/>
          <w:lang w:eastAsia="cs-CZ"/>
        </w:rPr>
        <w:t>In the Czech Republic there are 14 plants producing biodiesel or bioethanol. The following table lists those firms and their location.</w:t>
      </w:r>
    </w:p>
    <w:tbl>
      <w:tblPr>
        <w:tblW w:w="4811" w:type="dxa"/>
        <w:jc w:val="center"/>
        <w:tblInd w:w="53" w:type="dxa"/>
        <w:tblCellMar>
          <w:left w:w="70" w:type="dxa"/>
          <w:right w:w="70" w:type="dxa"/>
        </w:tblCellMar>
        <w:tblLook w:val="04A0"/>
      </w:tblPr>
      <w:tblGrid>
        <w:gridCol w:w="3257"/>
        <w:gridCol w:w="1554"/>
      </w:tblGrid>
      <w:tr w:rsidR="00D610E7" w:rsidRPr="00721FD9" w:rsidTr="00721FD9">
        <w:trPr>
          <w:trHeight w:val="261"/>
          <w:jc w:val="center"/>
        </w:trPr>
        <w:tc>
          <w:tcPr>
            <w:tcW w:w="3257" w:type="dxa"/>
            <w:tcBorders>
              <w:top w:val="single" w:sz="4" w:space="0" w:color="auto"/>
              <w:left w:val="single" w:sz="4" w:space="0" w:color="auto"/>
              <w:bottom w:val="single" w:sz="4" w:space="0" w:color="auto"/>
              <w:right w:val="single" w:sz="4" w:space="0" w:color="auto"/>
            </w:tcBorders>
            <w:shd w:val="clear" w:color="000000" w:fill="9BBB59"/>
            <w:noWrap/>
            <w:vAlign w:val="center"/>
            <w:hideMark/>
          </w:tcPr>
          <w:p w:rsidR="00D610E7" w:rsidRPr="00721FD9" w:rsidRDefault="00D610E7" w:rsidP="00D610E7">
            <w:pPr>
              <w:spacing w:after="0" w:line="240" w:lineRule="auto"/>
              <w:rPr>
                <w:rFonts w:eastAsia="Times New Roman" w:cs="Arial"/>
                <w:lang w:val="de-AT" w:eastAsia="de-AT"/>
              </w:rPr>
            </w:pPr>
            <w:r w:rsidRPr="00721FD9">
              <w:rPr>
                <w:rFonts w:eastAsia="Times New Roman" w:cs="Arial"/>
                <w:bCs/>
                <w:noProof/>
                <w:lang w:eastAsia="cs-CZ"/>
              </w:rPr>
              <w:t xml:space="preserve">Firm in Czech Republic </w:t>
            </w:r>
          </w:p>
        </w:tc>
        <w:tc>
          <w:tcPr>
            <w:tcW w:w="1554" w:type="dxa"/>
            <w:tcBorders>
              <w:top w:val="single" w:sz="4" w:space="0" w:color="auto"/>
              <w:left w:val="nil"/>
              <w:bottom w:val="single" w:sz="4" w:space="0" w:color="auto"/>
              <w:right w:val="single" w:sz="4" w:space="0" w:color="auto"/>
            </w:tcBorders>
            <w:shd w:val="clear" w:color="000000" w:fill="9BBB59"/>
            <w:noWrap/>
            <w:vAlign w:val="center"/>
            <w:hideMark/>
          </w:tcPr>
          <w:p w:rsidR="00D610E7" w:rsidRPr="00721FD9" w:rsidRDefault="00D610E7" w:rsidP="00D610E7">
            <w:pPr>
              <w:spacing w:after="0" w:line="240" w:lineRule="auto"/>
              <w:rPr>
                <w:rFonts w:eastAsia="Times New Roman" w:cs="Arial"/>
                <w:lang w:val="de-AT" w:eastAsia="de-AT"/>
              </w:rPr>
            </w:pPr>
            <w:r w:rsidRPr="00721FD9">
              <w:rPr>
                <w:rFonts w:eastAsia="Times New Roman" w:cs="Arial"/>
                <w:bCs/>
                <w:noProof/>
                <w:lang w:eastAsia="cs-CZ"/>
              </w:rPr>
              <w:t>Location</w:t>
            </w:r>
          </w:p>
        </w:tc>
      </w:tr>
      <w:tr w:rsidR="00D610E7" w:rsidRPr="00721FD9" w:rsidTr="00721FD9">
        <w:trPr>
          <w:trHeight w:val="247"/>
          <w:jc w:val="center"/>
        </w:trPr>
        <w:tc>
          <w:tcPr>
            <w:tcW w:w="3257" w:type="dxa"/>
            <w:tcBorders>
              <w:top w:val="nil"/>
              <w:left w:val="single" w:sz="4" w:space="0" w:color="auto"/>
              <w:bottom w:val="single" w:sz="4" w:space="0" w:color="auto"/>
              <w:right w:val="single" w:sz="4" w:space="0" w:color="auto"/>
            </w:tcBorders>
            <w:shd w:val="clear" w:color="auto" w:fill="auto"/>
            <w:noWrap/>
            <w:vAlign w:val="center"/>
            <w:hideMark/>
          </w:tcPr>
          <w:p w:rsidR="00D610E7" w:rsidRPr="00721FD9" w:rsidRDefault="00D610E7" w:rsidP="00D610E7">
            <w:pPr>
              <w:spacing w:after="0" w:line="240" w:lineRule="auto"/>
              <w:rPr>
                <w:rFonts w:eastAsia="Times New Roman" w:cs="Arial"/>
                <w:color w:val="000000"/>
                <w:lang w:val="de-AT" w:eastAsia="de-AT"/>
              </w:rPr>
            </w:pPr>
            <w:r w:rsidRPr="00721FD9">
              <w:rPr>
                <w:rFonts w:eastAsia="Times New Roman" w:cs="Arial"/>
                <w:bCs/>
                <w:color w:val="000000"/>
                <w:lang w:eastAsia="de-AT"/>
              </w:rPr>
              <w:t>ADW Bio</w:t>
            </w:r>
          </w:p>
        </w:tc>
        <w:tc>
          <w:tcPr>
            <w:tcW w:w="1554" w:type="dxa"/>
            <w:tcBorders>
              <w:top w:val="nil"/>
              <w:left w:val="nil"/>
              <w:bottom w:val="single" w:sz="4" w:space="0" w:color="auto"/>
              <w:right w:val="single" w:sz="4" w:space="0" w:color="auto"/>
            </w:tcBorders>
            <w:shd w:val="clear" w:color="auto" w:fill="auto"/>
            <w:noWrap/>
            <w:vAlign w:val="center"/>
            <w:hideMark/>
          </w:tcPr>
          <w:p w:rsidR="00D610E7" w:rsidRPr="00721FD9" w:rsidRDefault="00D610E7" w:rsidP="00D610E7">
            <w:pPr>
              <w:spacing w:after="0" w:line="240" w:lineRule="auto"/>
              <w:rPr>
                <w:rFonts w:eastAsia="Times New Roman" w:cs="Arial"/>
                <w:color w:val="000000"/>
                <w:lang w:val="de-AT" w:eastAsia="de-AT"/>
              </w:rPr>
            </w:pPr>
            <w:r w:rsidRPr="00721FD9">
              <w:rPr>
                <w:rFonts w:eastAsia="Times New Roman" w:cs="Arial"/>
                <w:color w:val="000000"/>
                <w:lang w:eastAsia="de-AT"/>
              </w:rPr>
              <w:t>Krahulov</w:t>
            </w:r>
          </w:p>
        </w:tc>
      </w:tr>
      <w:tr w:rsidR="00D610E7" w:rsidRPr="00721FD9" w:rsidTr="00721FD9">
        <w:trPr>
          <w:trHeight w:val="247"/>
          <w:jc w:val="center"/>
        </w:trPr>
        <w:tc>
          <w:tcPr>
            <w:tcW w:w="3257" w:type="dxa"/>
            <w:tcBorders>
              <w:top w:val="nil"/>
              <w:left w:val="single" w:sz="4" w:space="0" w:color="auto"/>
              <w:bottom w:val="single" w:sz="4" w:space="0" w:color="auto"/>
              <w:right w:val="single" w:sz="4" w:space="0" w:color="auto"/>
            </w:tcBorders>
            <w:shd w:val="clear" w:color="auto" w:fill="auto"/>
            <w:noWrap/>
            <w:vAlign w:val="center"/>
            <w:hideMark/>
          </w:tcPr>
          <w:p w:rsidR="00D610E7" w:rsidRPr="00721FD9" w:rsidRDefault="00D610E7" w:rsidP="00D610E7">
            <w:pPr>
              <w:spacing w:after="0" w:line="240" w:lineRule="auto"/>
              <w:rPr>
                <w:rFonts w:eastAsia="Times New Roman" w:cs="Arial"/>
                <w:color w:val="000000"/>
                <w:lang w:val="de-AT" w:eastAsia="de-AT"/>
              </w:rPr>
            </w:pPr>
            <w:r w:rsidRPr="00721FD9">
              <w:rPr>
                <w:rFonts w:eastAsia="Times New Roman" w:cs="Arial"/>
                <w:bCs/>
                <w:color w:val="000000"/>
                <w:lang w:eastAsia="de-AT"/>
              </w:rPr>
              <w:t>Agropodnik Domazlice</w:t>
            </w:r>
          </w:p>
        </w:tc>
        <w:tc>
          <w:tcPr>
            <w:tcW w:w="1554" w:type="dxa"/>
            <w:tcBorders>
              <w:top w:val="nil"/>
              <w:left w:val="nil"/>
              <w:bottom w:val="single" w:sz="4" w:space="0" w:color="auto"/>
              <w:right w:val="single" w:sz="4" w:space="0" w:color="auto"/>
            </w:tcBorders>
            <w:shd w:val="clear" w:color="auto" w:fill="auto"/>
            <w:noWrap/>
            <w:vAlign w:val="center"/>
            <w:hideMark/>
          </w:tcPr>
          <w:p w:rsidR="00D610E7" w:rsidRPr="00721FD9" w:rsidRDefault="00D610E7" w:rsidP="00D610E7">
            <w:pPr>
              <w:spacing w:after="0" w:line="240" w:lineRule="auto"/>
              <w:rPr>
                <w:rFonts w:eastAsia="Times New Roman" w:cs="Arial"/>
                <w:color w:val="000000"/>
                <w:lang w:val="de-AT" w:eastAsia="de-AT"/>
              </w:rPr>
            </w:pPr>
            <w:r w:rsidRPr="00721FD9">
              <w:rPr>
                <w:rFonts w:eastAsia="Times New Roman" w:cs="Arial"/>
                <w:color w:val="000000"/>
                <w:lang w:eastAsia="de-AT"/>
              </w:rPr>
              <w:t>Domazlice</w:t>
            </w:r>
          </w:p>
        </w:tc>
      </w:tr>
      <w:tr w:rsidR="00D610E7" w:rsidRPr="00721FD9" w:rsidTr="00721FD9">
        <w:trPr>
          <w:trHeight w:val="247"/>
          <w:jc w:val="center"/>
        </w:trPr>
        <w:tc>
          <w:tcPr>
            <w:tcW w:w="3257" w:type="dxa"/>
            <w:tcBorders>
              <w:top w:val="nil"/>
              <w:left w:val="single" w:sz="4" w:space="0" w:color="auto"/>
              <w:bottom w:val="single" w:sz="4" w:space="0" w:color="auto"/>
              <w:right w:val="single" w:sz="4" w:space="0" w:color="auto"/>
            </w:tcBorders>
            <w:shd w:val="clear" w:color="auto" w:fill="auto"/>
            <w:noWrap/>
            <w:vAlign w:val="center"/>
            <w:hideMark/>
          </w:tcPr>
          <w:p w:rsidR="00D610E7" w:rsidRPr="00721FD9" w:rsidRDefault="00D610E7" w:rsidP="00D610E7">
            <w:pPr>
              <w:spacing w:after="0" w:line="240" w:lineRule="auto"/>
              <w:rPr>
                <w:rFonts w:eastAsia="Times New Roman" w:cs="Arial"/>
                <w:color w:val="000000"/>
                <w:lang w:val="de-AT" w:eastAsia="de-AT"/>
              </w:rPr>
            </w:pPr>
            <w:r w:rsidRPr="00721FD9">
              <w:rPr>
                <w:rFonts w:eastAsia="Times New Roman" w:cs="Arial"/>
                <w:bCs/>
                <w:color w:val="000000"/>
                <w:lang w:eastAsia="de-AT"/>
              </w:rPr>
              <w:t>Agropodnik Jihlava</w:t>
            </w:r>
          </w:p>
        </w:tc>
        <w:tc>
          <w:tcPr>
            <w:tcW w:w="1554" w:type="dxa"/>
            <w:tcBorders>
              <w:top w:val="nil"/>
              <w:left w:val="nil"/>
              <w:bottom w:val="single" w:sz="4" w:space="0" w:color="auto"/>
              <w:right w:val="single" w:sz="4" w:space="0" w:color="auto"/>
            </w:tcBorders>
            <w:shd w:val="clear" w:color="auto" w:fill="auto"/>
            <w:noWrap/>
            <w:vAlign w:val="center"/>
            <w:hideMark/>
          </w:tcPr>
          <w:p w:rsidR="00D610E7" w:rsidRPr="00721FD9" w:rsidRDefault="00D610E7" w:rsidP="00D610E7">
            <w:pPr>
              <w:spacing w:after="0" w:line="240" w:lineRule="auto"/>
              <w:rPr>
                <w:rFonts w:eastAsia="Times New Roman" w:cs="Arial"/>
                <w:color w:val="000000"/>
                <w:lang w:val="de-AT" w:eastAsia="de-AT"/>
              </w:rPr>
            </w:pPr>
            <w:r w:rsidRPr="00721FD9">
              <w:rPr>
                <w:rFonts w:eastAsia="Times New Roman" w:cs="Arial"/>
                <w:color w:val="000000"/>
                <w:lang w:eastAsia="de-AT"/>
              </w:rPr>
              <w:t>Polna</w:t>
            </w:r>
          </w:p>
        </w:tc>
      </w:tr>
      <w:tr w:rsidR="00D610E7" w:rsidRPr="00721FD9" w:rsidTr="00721FD9">
        <w:trPr>
          <w:trHeight w:val="247"/>
          <w:jc w:val="center"/>
        </w:trPr>
        <w:tc>
          <w:tcPr>
            <w:tcW w:w="3257" w:type="dxa"/>
            <w:tcBorders>
              <w:top w:val="nil"/>
              <w:left w:val="single" w:sz="4" w:space="0" w:color="auto"/>
              <w:bottom w:val="single" w:sz="4" w:space="0" w:color="auto"/>
              <w:right w:val="single" w:sz="4" w:space="0" w:color="auto"/>
            </w:tcBorders>
            <w:shd w:val="clear" w:color="auto" w:fill="auto"/>
            <w:noWrap/>
            <w:vAlign w:val="center"/>
            <w:hideMark/>
          </w:tcPr>
          <w:p w:rsidR="00D610E7" w:rsidRPr="00721FD9" w:rsidRDefault="00D610E7" w:rsidP="00D610E7">
            <w:pPr>
              <w:spacing w:after="0" w:line="240" w:lineRule="auto"/>
              <w:rPr>
                <w:rFonts w:eastAsia="Times New Roman" w:cs="Arial"/>
                <w:color w:val="000000"/>
                <w:lang w:val="de-AT" w:eastAsia="de-AT"/>
              </w:rPr>
            </w:pPr>
            <w:r w:rsidRPr="00721FD9">
              <w:rPr>
                <w:rFonts w:eastAsia="Times New Roman" w:cs="Arial"/>
                <w:bCs/>
                <w:color w:val="000000"/>
                <w:lang w:eastAsia="de-AT"/>
              </w:rPr>
              <w:t>BIOPAL</w:t>
            </w:r>
          </w:p>
        </w:tc>
        <w:tc>
          <w:tcPr>
            <w:tcW w:w="1554" w:type="dxa"/>
            <w:tcBorders>
              <w:top w:val="nil"/>
              <w:left w:val="nil"/>
              <w:bottom w:val="single" w:sz="4" w:space="0" w:color="auto"/>
              <w:right w:val="single" w:sz="4" w:space="0" w:color="auto"/>
            </w:tcBorders>
            <w:shd w:val="clear" w:color="auto" w:fill="auto"/>
            <w:noWrap/>
            <w:vAlign w:val="center"/>
            <w:hideMark/>
          </w:tcPr>
          <w:p w:rsidR="00D610E7" w:rsidRPr="00721FD9" w:rsidRDefault="00D610E7" w:rsidP="00D610E7">
            <w:pPr>
              <w:spacing w:after="0" w:line="240" w:lineRule="auto"/>
              <w:rPr>
                <w:rFonts w:eastAsia="Times New Roman" w:cs="Arial"/>
                <w:color w:val="000000"/>
                <w:lang w:val="de-AT" w:eastAsia="de-AT"/>
              </w:rPr>
            </w:pPr>
            <w:r w:rsidRPr="00721FD9">
              <w:rPr>
                <w:rFonts w:eastAsia="Times New Roman" w:cs="Arial"/>
                <w:color w:val="000000"/>
                <w:lang w:eastAsia="de-AT"/>
              </w:rPr>
              <w:t>Kolin</w:t>
            </w:r>
          </w:p>
        </w:tc>
      </w:tr>
      <w:tr w:rsidR="00D610E7" w:rsidRPr="00721FD9" w:rsidTr="00721FD9">
        <w:trPr>
          <w:trHeight w:val="247"/>
          <w:jc w:val="center"/>
        </w:trPr>
        <w:tc>
          <w:tcPr>
            <w:tcW w:w="3257" w:type="dxa"/>
            <w:tcBorders>
              <w:top w:val="nil"/>
              <w:left w:val="single" w:sz="4" w:space="0" w:color="auto"/>
              <w:bottom w:val="single" w:sz="4" w:space="0" w:color="auto"/>
              <w:right w:val="single" w:sz="4" w:space="0" w:color="auto"/>
            </w:tcBorders>
            <w:shd w:val="clear" w:color="auto" w:fill="auto"/>
            <w:noWrap/>
            <w:vAlign w:val="center"/>
            <w:hideMark/>
          </w:tcPr>
          <w:p w:rsidR="00D610E7" w:rsidRPr="00721FD9" w:rsidRDefault="00D610E7" w:rsidP="00D610E7">
            <w:pPr>
              <w:spacing w:after="0" w:line="240" w:lineRule="auto"/>
              <w:rPr>
                <w:rFonts w:eastAsia="Times New Roman" w:cs="Arial"/>
                <w:color w:val="000000"/>
                <w:lang w:val="de-AT" w:eastAsia="de-AT"/>
              </w:rPr>
            </w:pPr>
            <w:r w:rsidRPr="00721FD9">
              <w:rPr>
                <w:rFonts w:eastAsia="Times New Roman" w:cs="Arial"/>
                <w:bCs/>
                <w:color w:val="000000"/>
                <w:lang w:eastAsia="de-AT"/>
              </w:rPr>
              <w:t>Chebio</w:t>
            </w:r>
          </w:p>
        </w:tc>
        <w:tc>
          <w:tcPr>
            <w:tcW w:w="1554" w:type="dxa"/>
            <w:tcBorders>
              <w:top w:val="nil"/>
              <w:left w:val="nil"/>
              <w:bottom w:val="single" w:sz="4" w:space="0" w:color="auto"/>
              <w:right w:val="single" w:sz="4" w:space="0" w:color="auto"/>
            </w:tcBorders>
            <w:shd w:val="clear" w:color="auto" w:fill="auto"/>
            <w:noWrap/>
            <w:vAlign w:val="center"/>
            <w:hideMark/>
          </w:tcPr>
          <w:p w:rsidR="00D610E7" w:rsidRPr="00721FD9" w:rsidRDefault="00D610E7" w:rsidP="00D610E7">
            <w:pPr>
              <w:spacing w:after="0" w:line="240" w:lineRule="auto"/>
              <w:rPr>
                <w:rFonts w:eastAsia="Times New Roman" w:cs="Arial"/>
                <w:color w:val="000000"/>
                <w:lang w:val="de-AT" w:eastAsia="de-AT"/>
              </w:rPr>
            </w:pPr>
            <w:r w:rsidRPr="00721FD9">
              <w:rPr>
                <w:rFonts w:eastAsia="Times New Roman" w:cs="Arial"/>
                <w:noProof/>
                <w:color w:val="000000"/>
                <w:lang w:eastAsia="cs-CZ"/>
              </w:rPr>
              <w:t> </w:t>
            </w:r>
          </w:p>
        </w:tc>
      </w:tr>
      <w:tr w:rsidR="00D610E7" w:rsidRPr="00721FD9" w:rsidTr="00721FD9">
        <w:trPr>
          <w:trHeight w:val="247"/>
          <w:jc w:val="center"/>
        </w:trPr>
        <w:tc>
          <w:tcPr>
            <w:tcW w:w="3257" w:type="dxa"/>
            <w:tcBorders>
              <w:top w:val="nil"/>
              <w:left w:val="single" w:sz="4" w:space="0" w:color="auto"/>
              <w:bottom w:val="single" w:sz="4" w:space="0" w:color="auto"/>
              <w:right w:val="single" w:sz="4" w:space="0" w:color="auto"/>
            </w:tcBorders>
            <w:shd w:val="clear" w:color="auto" w:fill="auto"/>
            <w:noWrap/>
            <w:vAlign w:val="center"/>
            <w:hideMark/>
          </w:tcPr>
          <w:p w:rsidR="00D610E7" w:rsidRPr="00721FD9" w:rsidRDefault="00D610E7" w:rsidP="00D610E7">
            <w:pPr>
              <w:spacing w:after="0" w:line="240" w:lineRule="auto"/>
              <w:rPr>
                <w:rFonts w:eastAsia="Times New Roman" w:cs="Arial"/>
                <w:color w:val="000000"/>
                <w:lang w:val="de-AT" w:eastAsia="de-AT"/>
              </w:rPr>
            </w:pPr>
            <w:r w:rsidRPr="00721FD9">
              <w:rPr>
                <w:rFonts w:eastAsia="Times New Roman" w:cs="Arial"/>
                <w:bCs/>
                <w:color w:val="000000"/>
                <w:lang w:eastAsia="de-AT"/>
              </w:rPr>
              <w:t>Chemopetrol</w:t>
            </w:r>
          </w:p>
        </w:tc>
        <w:tc>
          <w:tcPr>
            <w:tcW w:w="1554" w:type="dxa"/>
            <w:tcBorders>
              <w:top w:val="nil"/>
              <w:left w:val="nil"/>
              <w:bottom w:val="single" w:sz="4" w:space="0" w:color="auto"/>
              <w:right w:val="single" w:sz="4" w:space="0" w:color="auto"/>
            </w:tcBorders>
            <w:shd w:val="clear" w:color="auto" w:fill="auto"/>
            <w:noWrap/>
            <w:vAlign w:val="center"/>
            <w:hideMark/>
          </w:tcPr>
          <w:p w:rsidR="00D610E7" w:rsidRPr="00721FD9" w:rsidRDefault="00D610E7" w:rsidP="00D610E7">
            <w:pPr>
              <w:spacing w:after="0" w:line="240" w:lineRule="auto"/>
              <w:rPr>
                <w:rFonts w:eastAsia="Times New Roman" w:cs="Arial"/>
                <w:color w:val="000000"/>
                <w:lang w:val="de-AT" w:eastAsia="de-AT"/>
              </w:rPr>
            </w:pPr>
            <w:r w:rsidRPr="00721FD9">
              <w:rPr>
                <w:rFonts w:eastAsia="Times New Roman" w:cs="Arial"/>
                <w:color w:val="000000"/>
                <w:lang w:eastAsia="de-AT"/>
              </w:rPr>
              <w:t>Litvinov</w:t>
            </w:r>
          </w:p>
        </w:tc>
      </w:tr>
      <w:tr w:rsidR="00D610E7" w:rsidRPr="00721FD9" w:rsidTr="00721FD9">
        <w:trPr>
          <w:trHeight w:val="247"/>
          <w:jc w:val="center"/>
        </w:trPr>
        <w:tc>
          <w:tcPr>
            <w:tcW w:w="3257" w:type="dxa"/>
            <w:tcBorders>
              <w:top w:val="nil"/>
              <w:left w:val="single" w:sz="4" w:space="0" w:color="auto"/>
              <w:bottom w:val="single" w:sz="4" w:space="0" w:color="auto"/>
              <w:right w:val="single" w:sz="4" w:space="0" w:color="auto"/>
            </w:tcBorders>
            <w:shd w:val="clear" w:color="auto" w:fill="auto"/>
            <w:noWrap/>
            <w:vAlign w:val="center"/>
            <w:hideMark/>
          </w:tcPr>
          <w:p w:rsidR="00D610E7" w:rsidRPr="00721FD9" w:rsidRDefault="00D610E7" w:rsidP="00D610E7">
            <w:pPr>
              <w:spacing w:after="0" w:line="240" w:lineRule="auto"/>
              <w:rPr>
                <w:rFonts w:eastAsia="Times New Roman" w:cs="Arial"/>
                <w:color w:val="000000"/>
                <w:lang w:val="de-AT" w:eastAsia="de-AT"/>
              </w:rPr>
            </w:pPr>
            <w:r w:rsidRPr="00721FD9">
              <w:rPr>
                <w:rFonts w:eastAsia="Times New Roman" w:cs="Arial"/>
                <w:bCs/>
                <w:color w:val="000000"/>
                <w:lang w:eastAsia="de-AT"/>
              </w:rPr>
              <w:t>Citronelle</w:t>
            </w:r>
          </w:p>
        </w:tc>
        <w:tc>
          <w:tcPr>
            <w:tcW w:w="1554" w:type="dxa"/>
            <w:tcBorders>
              <w:top w:val="nil"/>
              <w:left w:val="nil"/>
              <w:bottom w:val="single" w:sz="4" w:space="0" w:color="auto"/>
              <w:right w:val="single" w:sz="4" w:space="0" w:color="auto"/>
            </w:tcBorders>
            <w:shd w:val="clear" w:color="auto" w:fill="auto"/>
            <w:noWrap/>
            <w:vAlign w:val="center"/>
            <w:hideMark/>
          </w:tcPr>
          <w:p w:rsidR="00D610E7" w:rsidRPr="00721FD9" w:rsidRDefault="00D610E7" w:rsidP="00D610E7">
            <w:pPr>
              <w:spacing w:after="0" w:line="240" w:lineRule="auto"/>
              <w:rPr>
                <w:rFonts w:eastAsia="Times New Roman" w:cs="Arial"/>
                <w:color w:val="000000"/>
                <w:lang w:val="de-AT" w:eastAsia="de-AT"/>
              </w:rPr>
            </w:pPr>
            <w:r w:rsidRPr="00721FD9">
              <w:rPr>
                <w:rFonts w:eastAsia="Times New Roman" w:cs="Arial"/>
                <w:noProof/>
                <w:color w:val="000000"/>
                <w:lang w:eastAsia="cs-CZ"/>
              </w:rPr>
              <w:t> </w:t>
            </w:r>
          </w:p>
        </w:tc>
      </w:tr>
      <w:tr w:rsidR="00D610E7" w:rsidRPr="00721FD9" w:rsidTr="00721FD9">
        <w:trPr>
          <w:trHeight w:val="247"/>
          <w:jc w:val="center"/>
        </w:trPr>
        <w:tc>
          <w:tcPr>
            <w:tcW w:w="3257" w:type="dxa"/>
            <w:tcBorders>
              <w:top w:val="nil"/>
              <w:left w:val="single" w:sz="4" w:space="0" w:color="auto"/>
              <w:bottom w:val="single" w:sz="4" w:space="0" w:color="auto"/>
              <w:right w:val="single" w:sz="4" w:space="0" w:color="auto"/>
            </w:tcBorders>
            <w:shd w:val="clear" w:color="auto" w:fill="auto"/>
            <w:noWrap/>
            <w:vAlign w:val="center"/>
            <w:hideMark/>
          </w:tcPr>
          <w:p w:rsidR="00D610E7" w:rsidRPr="00721FD9" w:rsidRDefault="00D610E7" w:rsidP="00D610E7">
            <w:pPr>
              <w:spacing w:after="0" w:line="240" w:lineRule="auto"/>
              <w:rPr>
                <w:rFonts w:eastAsia="Times New Roman" w:cs="Arial"/>
                <w:color w:val="000000"/>
                <w:lang w:val="de-AT" w:eastAsia="de-AT"/>
              </w:rPr>
            </w:pPr>
            <w:r w:rsidRPr="00721FD9">
              <w:rPr>
                <w:rFonts w:eastAsia="Times New Roman" w:cs="Arial"/>
                <w:bCs/>
                <w:color w:val="000000"/>
                <w:lang w:eastAsia="de-AT"/>
              </w:rPr>
              <w:lastRenderedPageBreak/>
              <w:t>Cukrovary TTD/Tereos</w:t>
            </w:r>
          </w:p>
        </w:tc>
        <w:tc>
          <w:tcPr>
            <w:tcW w:w="1554" w:type="dxa"/>
            <w:tcBorders>
              <w:top w:val="nil"/>
              <w:left w:val="nil"/>
              <w:bottom w:val="single" w:sz="4" w:space="0" w:color="auto"/>
              <w:right w:val="single" w:sz="4" w:space="0" w:color="auto"/>
            </w:tcBorders>
            <w:shd w:val="clear" w:color="auto" w:fill="auto"/>
            <w:noWrap/>
            <w:vAlign w:val="center"/>
            <w:hideMark/>
          </w:tcPr>
          <w:p w:rsidR="00D610E7" w:rsidRPr="00721FD9" w:rsidRDefault="00D610E7" w:rsidP="00D610E7">
            <w:pPr>
              <w:spacing w:after="0" w:line="240" w:lineRule="auto"/>
              <w:rPr>
                <w:rFonts w:eastAsia="Times New Roman" w:cs="Arial"/>
                <w:color w:val="000000"/>
                <w:lang w:val="de-AT" w:eastAsia="de-AT"/>
              </w:rPr>
            </w:pPr>
            <w:r w:rsidRPr="00721FD9">
              <w:rPr>
                <w:rFonts w:eastAsia="Times New Roman" w:cs="Arial"/>
                <w:color w:val="000000"/>
                <w:lang w:eastAsia="de-AT"/>
              </w:rPr>
              <w:t>Dobrovice</w:t>
            </w:r>
          </w:p>
        </w:tc>
      </w:tr>
      <w:tr w:rsidR="00D610E7" w:rsidRPr="00721FD9" w:rsidTr="00721FD9">
        <w:trPr>
          <w:trHeight w:val="247"/>
          <w:jc w:val="center"/>
        </w:trPr>
        <w:tc>
          <w:tcPr>
            <w:tcW w:w="3257" w:type="dxa"/>
            <w:tcBorders>
              <w:top w:val="nil"/>
              <w:left w:val="single" w:sz="4" w:space="0" w:color="auto"/>
              <w:bottom w:val="single" w:sz="4" w:space="0" w:color="auto"/>
              <w:right w:val="single" w:sz="4" w:space="0" w:color="auto"/>
            </w:tcBorders>
            <w:shd w:val="clear" w:color="auto" w:fill="auto"/>
            <w:noWrap/>
            <w:vAlign w:val="center"/>
            <w:hideMark/>
          </w:tcPr>
          <w:p w:rsidR="00D610E7" w:rsidRPr="00721FD9" w:rsidRDefault="00D610E7" w:rsidP="00D610E7">
            <w:pPr>
              <w:spacing w:after="0" w:line="240" w:lineRule="auto"/>
              <w:rPr>
                <w:rFonts w:eastAsia="Times New Roman" w:cs="Arial"/>
                <w:color w:val="000000"/>
                <w:lang w:val="de-AT" w:eastAsia="de-AT"/>
              </w:rPr>
            </w:pPr>
            <w:r w:rsidRPr="00721FD9">
              <w:rPr>
                <w:rFonts w:eastAsia="Times New Roman" w:cs="Arial"/>
                <w:bCs/>
                <w:color w:val="000000"/>
                <w:lang w:eastAsia="de-AT"/>
              </w:rPr>
              <w:t>Ethanol Energy</w:t>
            </w:r>
          </w:p>
        </w:tc>
        <w:tc>
          <w:tcPr>
            <w:tcW w:w="1554" w:type="dxa"/>
            <w:tcBorders>
              <w:top w:val="nil"/>
              <w:left w:val="nil"/>
              <w:bottom w:val="single" w:sz="4" w:space="0" w:color="auto"/>
              <w:right w:val="single" w:sz="4" w:space="0" w:color="auto"/>
            </w:tcBorders>
            <w:shd w:val="clear" w:color="auto" w:fill="auto"/>
            <w:noWrap/>
            <w:vAlign w:val="center"/>
            <w:hideMark/>
          </w:tcPr>
          <w:p w:rsidR="00D610E7" w:rsidRPr="00721FD9" w:rsidRDefault="00D610E7" w:rsidP="00D610E7">
            <w:pPr>
              <w:spacing w:after="0" w:line="240" w:lineRule="auto"/>
              <w:rPr>
                <w:rFonts w:eastAsia="Times New Roman" w:cs="Arial"/>
                <w:color w:val="000000"/>
                <w:lang w:val="de-AT" w:eastAsia="de-AT"/>
              </w:rPr>
            </w:pPr>
            <w:r w:rsidRPr="00721FD9">
              <w:rPr>
                <w:rFonts w:eastAsia="Times New Roman" w:cs="Arial"/>
                <w:color w:val="000000"/>
                <w:lang w:eastAsia="de-AT"/>
              </w:rPr>
              <w:t>Vrdy</w:t>
            </w:r>
          </w:p>
        </w:tc>
      </w:tr>
      <w:tr w:rsidR="00D610E7" w:rsidRPr="00721FD9" w:rsidTr="00721FD9">
        <w:trPr>
          <w:trHeight w:val="247"/>
          <w:jc w:val="center"/>
        </w:trPr>
        <w:tc>
          <w:tcPr>
            <w:tcW w:w="3257" w:type="dxa"/>
            <w:tcBorders>
              <w:top w:val="nil"/>
              <w:left w:val="single" w:sz="4" w:space="0" w:color="auto"/>
              <w:bottom w:val="single" w:sz="4" w:space="0" w:color="auto"/>
              <w:right w:val="single" w:sz="4" w:space="0" w:color="auto"/>
            </w:tcBorders>
            <w:shd w:val="clear" w:color="auto" w:fill="auto"/>
            <w:noWrap/>
            <w:vAlign w:val="center"/>
            <w:hideMark/>
          </w:tcPr>
          <w:p w:rsidR="00D610E7" w:rsidRPr="00721FD9" w:rsidRDefault="00D610E7" w:rsidP="00D610E7">
            <w:pPr>
              <w:spacing w:after="0" w:line="240" w:lineRule="auto"/>
              <w:rPr>
                <w:rFonts w:eastAsia="Times New Roman" w:cs="Arial"/>
                <w:color w:val="000000"/>
                <w:lang w:val="de-AT" w:eastAsia="de-AT"/>
              </w:rPr>
            </w:pPr>
            <w:r w:rsidRPr="00721FD9">
              <w:rPr>
                <w:rFonts w:eastAsia="Times New Roman" w:cs="Arial"/>
                <w:bCs/>
                <w:color w:val="000000"/>
                <w:lang w:eastAsia="de-AT"/>
              </w:rPr>
              <w:t>Jihocesky zemedelsky Lihovar</w:t>
            </w:r>
          </w:p>
        </w:tc>
        <w:tc>
          <w:tcPr>
            <w:tcW w:w="1554" w:type="dxa"/>
            <w:tcBorders>
              <w:top w:val="nil"/>
              <w:left w:val="nil"/>
              <w:bottom w:val="single" w:sz="4" w:space="0" w:color="auto"/>
              <w:right w:val="single" w:sz="4" w:space="0" w:color="auto"/>
            </w:tcBorders>
            <w:shd w:val="clear" w:color="auto" w:fill="auto"/>
            <w:noWrap/>
            <w:vAlign w:val="center"/>
            <w:hideMark/>
          </w:tcPr>
          <w:p w:rsidR="00D610E7" w:rsidRPr="00721FD9" w:rsidRDefault="00D610E7" w:rsidP="00D610E7">
            <w:pPr>
              <w:spacing w:after="0" w:line="240" w:lineRule="auto"/>
              <w:rPr>
                <w:rFonts w:eastAsia="Times New Roman" w:cs="Arial"/>
                <w:color w:val="000000"/>
                <w:lang w:val="de-AT" w:eastAsia="de-AT"/>
              </w:rPr>
            </w:pPr>
            <w:r w:rsidRPr="00721FD9">
              <w:rPr>
                <w:rFonts w:eastAsia="Times New Roman" w:cs="Arial"/>
                <w:color w:val="000000"/>
                <w:lang w:eastAsia="de-AT"/>
              </w:rPr>
              <w:t>Blatna</w:t>
            </w:r>
          </w:p>
        </w:tc>
      </w:tr>
      <w:tr w:rsidR="00D610E7" w:rsidRPr="00721FD9" w:rsidTr="00721FD9">
        <w:trPr>
          <w:trHeight w:val="247"/>
          <w:jc w:val="center"/>
        </w:trPr>
        <w:tc>
          <w:tcPr>
            <w:tcW w:w="3257" w:type="dxa"/>
            <w:tcBorders>
              <w:top w:val="nil"/>
              <w:left w:val="single" w:sz="4" w:space="0" w:color="auto"/>
              <w:bottom w:val="single" w:sz="4" w:space="0" w:color="auto"/>
              <w:right w:val="single" w:sz="4" w:space="0" w:color="auto"/>
            </w:tcBorders>
            <w:shd w:val="clear" w:color="auto" w:fill="auto"/>
            <w:noWrap/>
            <w:vAlign w:val="center"/>
            <w:hideMark/>
          </w:tcPr>
          <w:p w:rsidR="00D610E7" w:rsidRPr="00721FD9" w:rsidRDefault="00D610E7" w:rsidP="00D610E7">
            <w:pPr>
              <w:spacing w:after="0" w:line="240" w:lineRule="auto"/>
              <w:rPr>
                <w:rFonts w:eastAsia="Times New Roman" w:cs="Arial"/>
                <w:color w:val="000000"/>
                <w:lang w:val="de-AT" w:eastAsia="de-AT"/>
              </w:rPr>
            </w:pPr>
            <w:r w:rsidRPr="00721FD9">
              <w:rPr>
                <w:rFonts w:eastAsia="Times New Roman" w:cs="Arial"/>
                <w:bCs/>
                <w:color w:val="000000"/>
                <w:lang w:eastAsia="de-AT"/>
              </w:rPr>
              <w:t>Moravsky Lihovar</w:t>
            </w:r>
          </w:p>
        </w:tc>
        <w:tc>
          <w:tcPr>
            <w:tcW w:w="1554" w:type="dxa"/>
            <w:tcBorders>
              <w:top w:val="nil"/>
              <w:left w:val="nil"/>
              <w:bottom w:val="single" w:sz="4" w:space="0" w:color="auto"/>
              <w:right w:val="single" w:sz="4" w:space="0" w:color="auto"/>
            </w:tcBorders>
            <w:shd w:val="clear" w:color="auto" w:fill="auto"/>
            <w:noWrap/>
            <w:vAlign w:val="center"/>
            <w:hideMark/>
          </w:tcPr>
          <w:p w:rsidR="00D610E7" w:rsidRPr="00721FD9" w:rsidRDefault="00D610E7" w:rsidP="00D610E7">
            <w:pPr>
              <w:spacing w:after="0" w:line="240" w:lineRule="auto"/>
              <w:rPr>
                <w:rFonts w:eastAsia="Times New Roman" w:cs="Arial"/>
                <w:color w:val="000000"/>
                <w:lang w:val="de-AT" w:eastAsia="de-AT"/>
              </w:rPr>
            </w:pPr>
            <w:r w:rsidRPr="00721FD9">
              <w:rPr>
                <w:rFonts w:eastAsia="Times New Roman" w:cs="Arial"/>
                <w:color w:val="000000"/>
                <w:lang w:eastAsia="de-AT"/>
              </w:rPr>
              <w:t>Kojetin</w:t>
            </w:r>
          </w:p>
        </w:tc>
      </w:tr>
      <w:tr w:rsidR="00D610E7" w:rsidRPr="00721FD9" w:rsidTr="00721FD9">
        <w:trPr>
          <w:trHeight w:val="247"/>
          <w:jc w:val="center"/>
        </w:trPr>
        <w:tc>
          <w:tcPr>
            <w:tcW w:w="3257" w:type="dxa"/>
            <w:tcBorders>
              <w:top w:val="nil"/>
              <w:left w:val="single" w:sz="4" w:space="0" w:color="auto"/>
              <w:bottom w:val="single" w:sz="4" w:space="0" w:color="auto"/>
              <w:right w:val="single" w:sz="4" w:space="0" w:color="auto"/>
            </w:tcBorders>
            <w:shd w:val="clear" w:color="auto" w:fill="auto"/>
            <w:noWrap/>
            <w:vAlign w:val="center"/>
            <w:hideMark/>
          </w:tcPr>
          <w:p w:rsidR="00D610E7" w:rsidRPr="00721FD9" w:rsidRDefault="00D610E7" w:rsidP="00D610E7">
            <w:pPr>
              <w:spacing w:after="0" w:line="240" w:lineRule="auto"/>
              <w:rPr>
                <w:rFonts w:eastAsia="Times New Roman" w:cs="Arial"/>
                <w:color w:val="000000"/>
                <w:lang w:val="de-AT" w:eastAsia="de-AT"/>
              </w:rPr>
            </w:pPr>
            <w:r w:rsidRPr="00721FD9">
              <w:rPr>
                <w:rFonts w:eastAsia="Times New Roman" w:cs="Arial"/>
                <w:bCs/>
                <w:color w:val="000000"/>
                <w:lang w:eastAsia="de-AT"/>
              </w:rPr>
              <w:t>PLP</w:t>
            </w:r>
          </w:p>
        </w:tc>
        <w:tc>
          <w:tcPr>
            <w:tcW w:w="1554" w:type="dxa"/>
            <w:tcBorders>
              <w:top w:val="nil"/>
              <w:left w:val="nil"/>
              <w:bottom w:val="single" w:sz="4" w:space="0" w:color="auto"/>
              <w:right w:val="single" w:sz="4" w:space="0" w:color="auto"/>
            </w:tcBorders>
            <w:shd w:val="clear" w:color="auto" w:fill="auto"/>
            <w:noWrap/>
            <w:vAlign w:val="center"/>
            <w:hideMark/>
          </w:tcPr>
          <w:p w:rsidR="00D610E7" w:rsidRPr="00721FD9" w:rsidRDefault="00D610E7" w:rsidP="00D610E7">
            <w:pPr>
              <w:spacing w:after="0" w:line="240" w:lineRule="auto"/>
              <w:rPr>
                <w:rFonts w:eastAsia="Times New Roman" w:cs="Arial"/>
                <w:color w:val="000000"/>
                <w:lang w:val="de-AT" w:eastAsia="de-AT"/>
              </w:rPr>
            </w:pPr>
            <w:r w:rsidRPr="00721FD9">
              <w:rPr>
                <w:rFonts w:eastAsia="Times New Roman" w:cs="Arial"/>
                <w:color w:val="000000"/>
                <w:lang w:eastAsia="de-AT"/>
              </w:rPr>
              <w:t>Trmice</w:t>
            </w:r>
          </w:p>
        </w:tc>
      </w:tr>
      <w:tr w:rsidR="00D610E7" w:rsidRPr="00721FD9" w:rsidTr="00721FD9">
        <w:trPr>
          <w:trHeight w:val="247"/>
          <w:jc w:val="center"/>
        </w:trPr>
        <w:tc>
          <w:tcPr>
            <w:tcW w:w="3257" w:type="dxa"/>
            <w:tcBorders>
              <w:top w:val="nil"/>
              <w:left w:val="single" w:sz="4" w:space="0" w:color="auto"/>
              <w:bottom w:val="single" w:sz="4" w:space="0" w:color="auto"/>
              <w:right w:val="single" w:sz="4" w:space="0" w:color="auto"/>
            </w:tcBorders>
            <w:shd w:val="clear" w:color="auto" w:fill="auto"/>
            <w:noWrap/>
            <w:vAlign w:val="center"/>
            <w:hideMark/>
          </w:tcPr>
          <w:p w:rsidR="00D610E7" w:rsidRPr="00721FD9" w:rsidRDefault="00D610E7" w:rsidP="00D610E7">
            <w:pPr>
              <w:spacing w:after="0" w:line="240" w:lineRule="auto"/>
              <w:rPr>
                <w:rFonts w:eastAsia="Times New Roman" w:cs="Arial"/>
                <w:color w:val="000000"/>
                <w:lang w:val="de-AT" w:eastAsia="de-AT"/>
              </w:rPr>
            </w:pPr>
            <w:r w:rsidRPr="00721FD9">
              <w:rPr>
                <w:rFonts w:eastAsia="Times New Roman" w:cs="Arial"/>
                <w:bCs/>
                <w:color w:val="000000"/>
                <w:lang w:eastAsia="de-AT"/>
              </w:rPr>
              <w:t>PREOL, a.s.</w:t>
            </w:r>
          </w:p>
        </w:tc>
        <w:tc>
          <w:tcPr>
            <w:tcW w:w="1554" w:type="dxa"/>
            <w:tcBorders>
              <w:top w:val="nil"/>
              <w:left w:val="nil"/>
              <w:bottom w:val="single" w:sz="4" w:space="0" w:color="auto"/>
              <w:right w:val="single" w:sz="4" w:space="0" w:color="auto"/>
            </w:tcBorders>
            <w:shd w:val="clear" w:color="auto" w:fill="auto"/>
            <w:noWrap/>
            <w:vAlign w:val="center"/>
            <w:hideMark/>
          </w:tcPr>
          <w:p w:rsidR="00D610E7" w:rsidRPr="00721FD9" w:rsidRDefault="00D610E7" w:rsidP="00D610E7">
            <w:pPr>
              <w:spacing w:after="0" w:line="240" w:lineRule="auto"/>
              <w:rPr>
                <w:rFonts w:eastAsia="Times New Roman" w:cs="Arial"/>
                <w:color w:val="000000"/>
                <w:lang w:val="de-AT" w:eastAsia="de-AT"/>
              </w:rPr>
            </w:pPr>
            <w:r w:rsidRPr="00721FD9">
              <w:rPr>
                <w:rFonts w:eastAsia="Times New Roman" w:cs="Arial"/>
                <w:color w:val="000000"/>
                <w:lang w:eastAsia="de-AT"/>
              </w:rPr>
              <w:t>Lovosice</w:t>
            </w:r>
          </w:p>
        </w:tc>
      </w:tr>
      <w:tr w:rsidR="00D610E7" w:rsidRPr="00721FD9" w:rsidTr="00721FD9">
        <w:trPr>
          <w:trHeight w:val="247"/>
          <w:jc w:val="center"/>
        </w:trPr>
        <w:tc>
          <w:tcPr>
            <w:tcW w:w="3257" w:type="dxa"/>
            <w:tcBorders>
              <w:top w:val="nil"/>
              <w:left w:val="single" w:sz="4" w:space="0" w:color="auto"/>
              <w:bottom w:val="single" w:sz="4" w:space="0" w:color="auto"/>
              <w:right w:val="single" w:sz="4" w:space="0" w:color="auto"/>
            </w:tcBorders>
            <w:shd w:val="clear" w:color="auto" w:fill="auto"/>
            <w:noWrap/>
            <w:vAlign w:val="center"/>
            <w:hideMark/>
          </w:tcPr>
          <w:p w:rsidR="00D610E7" w:rsidRPr="00721FD9" w:rsidRDefault="00D610E7" w:rsidP="00D610E7">
            <w:pPr>
              <w:spacing w:after="0" w:line="240" w:lineRule="auto"/>
              <w:rPr>
                <w:rFonts w:eastAsia="Times New Roman" w:cs="Arial"/>
                <w:color w:val="000000"/>
                <w:lang w:val="de-AT" w:eastAsia="de-AT"/>
              </w:rPr>
            </w:pPr>
            <w:r w:rsidRPr="00721FD9">
              <w:rPr>
                <w:rFonts w:eastAsia="Times New Roman" w:cs="Arial"/>
                <w:bCs/>
                <w:color w:val="000000"/>
                <w:lang w:eastAsia="de-AT"/>
              </w:rPr>
              <w:t>SWP Trading</w:t>
            </w:r>
          </w:p>
        </w:tc>
        <w:tc>
          <w:tcPr>
            <w:tcW w:w="1554" w:type="dxa"/>
            <w:tcBorders>
              <w:top w:val="nil"/>
              <w:left w:val="nil"/>
              <w:bottom w:val="single" w:sz="4" w:space="0" w:color="auto"/>
              <w:right w:val="single" w:sz="4" w:space="0" w:color="auto"/>
            </w:tcBorders>
            <w:shd w:val="clear" w:color="auto" w:fill="auto"/>
            <w:noWrap/>
            <w:vAlign w:val="center"/>
            <w:hideMark/>
          </w:tcPr>
          <w:p w:rsidR="00D610E7" w:rsidRPr="00721FD9" w:rsidRDefault="00D610E7" w:rsidP="00CD2294">
            <w:pPr>
              <w:spacing w:after="0" w:line="240" w:lineRule="auto"/>
              <w:rPr>
                <w:rFonts w:eastAsia="Times New Roman" w:cs="Arial"/>
                <w:color w:val="000000"/>
                <w:lang w:val="de-AT" w:eastAsia="de-AT"/>
              </w:rPr>
            </w:pPr>
            <w:r w:rsidRPr="00721FD9">
              <w:rPr>
                <w:rFonts w:eastAsia="Times New Roman" w:cs="Arial"/>
                <w:color w:val="000000"/>
                <w:lang w:eastAsia="de-AT"/>
              </w:rPr>
              <w:t>Horni Sucha</w:t>
            </w:r>
          </w:p>
        </w:tc>
      </w:tr>
    </w:tbl>
    <w:p w:rsidR="0070319C" w:rsidRDefault="0070319C" w:rsidP="00CD2294">
      <w:pPr>
        <w:pStyle w:val="Beschriftung"/>
        <w:jc w:val="center"/>
        <w:rPr>
          <w:color w:val="auto"/>
        </w:rPr>
      </w:pPr>
    </w:p>
    <w:p w:rsidR="00D610E7" w:rsidRDefault="00CD2294" w:rsidP="00CD2294">
      <w:pPr>
        <w:pStyle w:val="Beschriftung"/>
        <w:jc w:val="center"/>
        <w:rPr>
          <w:noProof/>
          <w:color w:val="auto"/>
          <w:lang w:eastAsia="cs-CZ"/>
        </w:rPr>
      </w:pPr>
      <w:bookmarkStart w:id="35" w:name="_Toc294468957"/>
      <w:r w:rsidRPr="00CD2294">
        <w:rPr>
          <w:color w:val="auto"/>
        </w:rPr>
        <w:t xml:space="preserve">Table </w:t>
      </w:r>
      <w:r w:rsidR="002A0101" w:rsidRPr="00CD2294">
        <w:rPr>
          <w:color w:val="auto"/>
        </w:rPr>
        <w:fldChar w:fldCharType="begin"/>
      </w:r>
      <w:r w:rsidRPr="00CD2294">
        <w:rPr>
          <w:color w:val="auto"/>
        </w:rPr>
        <w:instrText xml:space="preserve"> SEQ Table \* ARABIC </w:instrText>
      </w:r>
      <w:r w:rsidR="002A0101" w:rsidRPr="00CD2294">
        <w:rPr>
          <w:color w:val="auto"/>
        </w:rPr>
        <w:fldChar w:fldCharType="separate"/>
      </w:r>
      <w:r w:rsidRPr="00CD2294">
        <w:rPr>
          <w:noProof/>
          <w:color w:val="auto"/>
        </w:rPr>
        <w:t>6</w:t>
      </w:r>
      <w:r w:rsidR="002A0101" w:rsidRPr="00CD2294">
        <w:rPr>
          <w:color w:val="auto"/>
        </w:rPr>
        <w:fldChar w:fldCharType="end"/>
      </w:r>
      <w:r w:rsidR="00EA4BA0">
        <w:rPr>
          <w:color w:val="auto"/>
        </w:rPr>
        <w:t>:</w:t>
      </w:r>
      <w:r w:rsidRPr="00CD2294">
        <w:rPr>
          <w:noProof/>
          <w:color w:val="auto"/>
          <w:lang w:eastAsia="cs-CZ"/>
        </w:rPr>
        <w:t xml:space="preserve"> Firms producing </w:t>
      </w:r>
      <w:r w:rsidR="002C4350">
        <w:rPr>
          <w:noProof/>
          <w:color w:val="auto"/>
          <w:lang w:eastAsia="cs-CZ"/>
        </w:rPr>
        <w:t>biofuels in the Czech Republic</w:t>
      </w:r>
      <w:r w:rsidR="00E26170">
        <w:rPr>
          <w:rStyle w:val="Funotenzeichen"/>
          <w:noProof/>
          <w:color w:val="auto"/>
          <w:lang w:eastAsia="cs-CZ"/>
        </w:rPr>
        <w:footnoteReference w:id="27"/>
      </w:r>
      <w:bookmarkEnd w:id="35"/>
    </w:p>
    <w:p w:rsidR="009333AE" w:rsidRPr="004558EF" w:rsidRDefault="009333AE" w:rsidP="00D610E7">
      <w:pPr>
        <w:rPr>
          <w:noProof/>
          <w:lang w:eastAsia="cs-CZ"/>
        </w:rPr>
      </w:pPr>
      <w:r w:rsidRPr="004558EF">
        <w:rPr>
          <w:noProof/>
          <w:lang w:eastAsia="cs-CZ"/>
        </w:rPr>
        <w:t>The Czech biofuels market and the main players on it are described in the following diagram.</w:t>
      </w:r>
    </w:p>
    <w:p w:rsidR="009333AE" w:rsidRPr="004558EF" w:rsidRDefault="009333AE" w:rsidP="00D610E7">
      <w:pPr>
        <w:rPr>
          <w:lang w:val="en-US"/>
        </w:rPr>
      </w:pPr>
    </w:p>
    <w:p w:rsidR="00CD2294" w:rsidRDefault="00E67354" w:rsidP="00CD2294">
      <w:pPr>
        <w:jc w:val="center"/>
      </w:pPr>
      <w:r w:rsidRPr="004558EF">
        <w:rPr>
          <w:noProof/>
          <w:lang w:val="de-AT" w:eastAsia="de-AT"/>
        </w:rPr>
        <w:drawing>
          <wp:inline distT="0" distB="0" distL="0" distR="0">
            <wp:extent cx="6246627" cy="1913861"/>
            <wp:effectExtent l="19050" t="0" r="1773" b="0"/>
            <wp:docPr id="9" name="Picture 5" descr="Non geographical diagram being loa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n geographical diagram being loaded ..."/>
                    <pic:cNvPicPr>
                      <a:picLocks noChangeAspect="1" noChangeArrowheads="1"/>
                    </pic:cNvPicPr>
                  </pic:nvPicPr>
                  <pic:blipFill>
                    <a:blip r:embed="rId26"/>
                    <a:srcRect/>
                    <a:stretch>
                      <a:fillRect/>
                    </a:stretch>
                  </pic:blipFill>
                  <pic:spPr bwMode="auto">
                    <a:xfrm>
                      <a:off x="0" y="0"/>
                      <a:ext cx="6265104" cy="1919522"/>
                    </a:xfrm>
                    <a:prstGeom prst="rect">
                      <a:avLst/>
                    </a:prstGeom>
                    <a:noFill/>
                    <a:ln w="9525">
                      <a:noFill/>
                      <a:miter lim="800000"/>
                      <a:headEnd/>
                      <a:tailEnd/>
                    </a:ln>
                  </pic:spPr>
                </pic:pic>
              </a:graphicData>
            </a:graphic>
          </wp:inline>
        </w:drawing>
      </w:r>
    </w:p>
    <w:p w:rsidR="00CD2294" w:rsidRPr="00CD2294" w:rsidRDefault="00CD2294" w:rsidP="00CD2294">
      <w:pPr>
        <w:jc w:val="center"/>
        <w:rPr>
          <w:b/>
          <w:sz w:val="18"/>
          <w:szCs w:val="18"/>
          <w:lang w:val="en-US"/>
        </w:rPr>
      </w:pPr>
      <w:bookmarkStart w:id="36" w:name="_Toc294469012"/>
      <w:r w:rsidRPr="00CD2294">
        <w:rPr>
          <w:b/>
          <w:sz w:val="18"/>
          <w:szCs w:val="18"/>
        </w:rPr>
        <w:t xml:space="preserve">Figure </w:t>
      </w:r>
      <w:r w:rsidR="002A0101" w:rsidRPr="00CD2294">
        <w:rPr>
          <w:b/>
          <w:sz w:val="18"/>
          <w:szCs w:val="18"/>
        </w:rPr>
        <w:fldChar w:fldCharType="begin"/>
      </w:r>
      <w:r w:rsidRPr="00CD2294">
        <w:rPr>
          <w:b/>
          <w:sz w:val="18"/>
          <w:szCs w:val="18"/>
        </w:rPr>
        <w:instrText xml:space="preserve"> SEQ Figure \* ARABIC </w:instrText>
      </w:r>
      <w:r w:rsidR="002A0101" w:rsidRPr="00CD2294">
        <w:rPr>
          <w:b/>
          <w:sz w:val="18"/>
          <w:szCs w:val="18"/>
        </w:rPr>
        <w:fldChar w:fldCharType="separate"/>
      </w:r>
      <w:r w:rsidR="00904569">
        <w:rPr>
          <w:b/>
          <w:noProof/>
          <w:sz w:val="18"/>
          <w:szCs w:val="18"/>
        </w:rPr>
        <w:t>11</w:t>
      </w:r>
      <w:r w:rsidR="002A0101" w:rsidRPr="00CD2294">
        <w:rPr>
          <w:b/>
          <w:sz w:val="18"/>
          <w:szCs w:val="18"/>
        </w:rPr>
        <w:fldChar w:fldCharType="end"/>
      </w:r>
      <w:r w:rsidR="00EA4BA0">
        <w:rPr>
          <w:b/>
          <w:sz w:val="18"/>
          <w:szCs w:val="18"/>
        </w:rPr>
        <w:t>:</w:t>
      </w:r>
      <w:r w:rsidRPr="00CD2294">
        <w:rPr>
          <w:b/>
          <w:sz w:val="18"/>
          <w:szCs w:val="18"/>
          <w:lang w:val="en-US"/>
        </w:rPr>
        <w:t xml:space="preserve"> Players on the biofuels market in the Czech Republic</w:t>
      </w:r>
      <w:r w:rsidR="00E26170">
        <w:rPr>
          <w:rStyle w:val="Funotenzeichen"/>
          <w:b/>
          <w:sz w:val="18"/>
          <w:szCs w:val="18"/>
          <w:lang w:val="en-US"/>
        </w:rPr>
        <w:footnoteReference w:id="28"/>
      </w:r>
      <w:bookmarkEnd w:id="36"/>
    </w:p>
    <w:p w:rsidR="009333AE" w:rsidRPr="004558EF" w:rsidRDefault="009333AE" w:rsidP="00CD2294">
      <w:pPr>
        <w:pStyle w:val="Beschriftung"/>
        <w:jc w:val="center"/>
        <w:rPr>
          <w:lang w:val="en-US"/>
        </w:rPr>
      </w:pPr>
    </w:p>
    <w:p w:rsidR="009333AE" w:rsidRPr="004558EF" w:rsidRDefault="009333AE" w:rsidP="00D610E7">
      <w:pPr>
        <w:rPr>
          <w:lang w:val="en-US"/>
        </w:rPr>
      </w:pPr>
      <w:r w:rsidRPr="004558EF">
        <w:rPr>
          <w:lang w:val="en-US"/>
        </w:rPr>
        <w:t>This p</w:t>
      </w:r>
      <w:r w:rsidR="00161ABF">
        <w:rPr>
          <w:lang w:val="en-US"/>
        </w:rPr>
        <w:t>roduction capacity produces 197,</w:t>
      </w:r>
      <w:r w:rsidRPr="004558EF">
        <w:rPr>
          <w:lang w:val="en-US"/>
        </w:rPr>
        <w:t xml:space="preserve">988 </w:t>
      </w:r>
      <w:r w:rsidR="000562A0">
        <w:rPr>
          <w:lang w:val="en-US"/>
        </w:rPr>
        <w:t>tonnes</w:t>
      </w:r>
      <w:r w:rsidRPr="004558EF">
        <w:rPr>
          <w:lang w:val="en-US"/>
        </w:rPr>
        <w:t xml:space="preserve"> of FAME and 94</w:t>
      </w:r>
      <w:r w:rsidR="00161ABF">
        <w:rPr>
          <w:lang w:val="en-US"/>
        </w:rPr>
        <w:t>,</w:t>
      </w:r>
      <w:r w:rsidRPr="004558EF">
        <w:rPr>
          <w:lang w:val="en-US"/>
        </w:rPr>
        <w:t xml:space="preserve">523 </w:t>
      </w:r>
      <w:r w:rsidR="000562A0">
        <w:rPr>
          <w:lang w:val="en-US"/>
        </w:rPr>
        <w:t>tonne</w:t>
      </w:r>
      <w:r w:rsidRPr="004558EF">
        <w:rPr>
          <w:lang w:val="en-US"/>
        </w:rPr>
        <w:t>s of bioethanol. The following graphs demonstrate the development in the home production, gross consumption, import and export. The Czech Republic has higher exports than import</w:t>
      </w:r>
      <w:r w:rsidR="00721FD9">
        <w:rPr>
          <w:lang w:val="en-US"/>
        </w:rPr>
        <w:t>s</w:t>
      </w:r>
      <w:r w:rsidRPr="004558EF">
        <w:rPr>
          <w:lang w:val="en-US"/>
        </w:rPr>
        <w:t xml:space="preserve"> (so it is</w:t>
      </w:r>
      <w:r w:rsidR="00721FD9">
        <w:rPr>
          <w:lang w:val="en-US"/>
        </w:rPr>
        <w:t xml:space="preserve"> an</w:t>
      </w:r>
      <w:r w:rsidRPr="004558EF">
        <w:rPr>
          <w:lang w:val="en-US"/>
        </w:rPr>
        <w:t xml:space="preserve"> export</w:t>
      </w:r>
      <w:r w:rsidR="00721FD9">
        <w:rPr>
          <w:lang w:val="en-US"/>
        </w:rPr>
        <w:t>ing</w:t>
      </w:r>
      <w:r w:rsidRPr="004558EF">
        <w:rPr>
          <w:lang w:val="en-US"/>
        </w:rPr>
        <w:t xml:space="preserve"> country), especially during recent years the difference between exports and imports </w:t>
      </w:r>
      <w:r w:rsidR="00721FD9">
        <w:rPr>
          <w:lang w:val="en-US"/>
        </w:rPr>
        <w:t>has</w:t>
      </w:r>
      <w:r w:rsidRPr="004558EF">
        <w:rPr>
          <w:lang w:val="en-US"/>
        </w:rPr>
        <w:t xml:space="preserve"> increased. Also it produces more biofuels than it consumes, it was true for log time since 2000 for FAME. However, the consumption has increased nearly to the level of home production.</w:t>
      </w:r>
    </w:p>
    <w:p w:rsidR="00CD2294" w:rsidRDefault="00E67354" w:rsidP="00DE3CCA">
      <w:pPr>
        <w:jc w:val="center"/>
      </w:pPr>
      <w:r w:rsidRPr="004558EF">
        <w:rPr>
          <w:noProof/>
          <w:lang w:val="de-AT" w:eastAsia="de-AT"/>
        </w:rPr>
        <w:drawing>
          <wp:inline distT="0" distB="0" distL="0" distR="0">
            <wp:extent cx="6276975" cy="2533650"/>
            <wp:effectExtent l="19050" t="0" r="9525" b="0"/>
            <wp:docPr id="10" name="Graf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D2294" w:rsidRPr="00CD2294" w:rsidRDefault="00CD2294" w:rsidP="00CD2294">
      <w:pPr>
        <w:jc w:val="center"/>
        <w:rPr>
          <w:b/>
          <w:sz w:val="18"/>
          <w:szCs w:val="18"/>
          <w:lang w:val="en-US"/>
        </w:rPr>
      </w:pPr>
      <w:bookmarkStart w:id="37" w:name="_Toc294469013"/>
      <w:r w:rsidRPr="00CD2294">
        <w:rPr>
          <w:b/>
          <w:sz w:val="18"/>
          <w:szCs w:val="18"/>
        </w:rPr>
        <w:lastRenderedPageBreak/>
        <w:t xml:space="preserve">Figure </w:t>
      </w:r>
      <w:r w:rsidR="002A0101" w:rsidRPr="00CD2294">
        <w:rPr>
          <w:b/>
          <w:sz w:val="18"/>
          <w:szCs w:val="18"/>
        </w:rPr>
        <w:fldChar w:fldCharType="begin"/>
      </w:r>
      <w:r w:rsidRPr="00CD2294">
        <w:rPr>
          <w:b/>
          <w:sz w:val="18"/>
          <w:szCs w:val="18"/>
        </w:rPr>
        <w:instrText xml:space="preserve"> SEQ Figure \* ARABIC </w:instrText>
      </w:r>
      <w:r w:rsidR="002A0101" w:rsidRPr="00CD2294">
        <w:rPr>
          <w:b/>
          <w:sz w:val="18"/>
          <w:szCs w:val="18"/>
        </w:rPr>
        <w:fldChar w:fldCharType="separate"/>
      </w:r>
      <w:r w:rsidR="00904569">
        <w:rPr>
          <w:b/>
          <w:noProof/>
          <w:sz w:val="18"/>
          <w:szCs w:val="18"/>
        </w:rPr>
        <w:t>12</w:t>
      </w:r>
      <w:r w:rsidR="002A0101" w:rsidRPr="00CD2294">
        <w:rPr>
          <w:b/>
          <w:sz w:val="18"/>
          <w:szCs w:val="18"/>
        </w:rPr>
        <w:fldChar w:fldCharType="end"/>
      </w:r>
      <w:r w:rsidR="0070319C">
        <w:rPr>
          <w:b/>
          <w:sz w:val="18"/>
          <w:szCs w:val="18"/>
        </w:rPr>
        <w:t>:</w:t>
      </w:r>
      <w:r w:rsidRPr="00CD2294">
        <w:rPr>
          <w:b/>
          <w:sz w:val="18"/>
          <w:szCs w:val="18"/>
          <w:lang w:val="en-US"/>
        </w:rPr>
        <w:t xml:space="preserve"> CZ FAME home production, gross consumption, import and export in t, annual</w:t>
      </w:r>
      <w:r w:rsidR="00B67D73">
        <w:rPr>
          <w:rStyle w:val="Funotenzeichen"/>
          <w:b/>
          <w:sz w:val="18"/>
          <w:szCs w:val="18"/>
          <w:lang w:val="en-US"/>
        </w:rPr>
        <w:footnoteReference w:id="29"/>
      </w:r>
      <w:bookmarkEnd w:id="37"/>
    </w:p>
    <w:p w:rsidR="009333AE" w:rsidRPr="004558EF" w:rsidRDefault="009333AE" w:rsidP="00D610E7">
      <w:pPr>
        <w:rPr>
          <w:noProof/>
          <w:lang w:eastAsia="cs-CZ"/>
        </w:rPr>
      </w:pPr>
    </w:p>
    <w:p w:rsidR="00CD2294" w:rsidRDefault="00E67354" w:rsidP="00CD2294">
      <w:pPr>
        <w:jc w:val="center"/>
      </w:pPr>
      <w:r w:rsidRPr="004558EF">
        <w:rPr>
          <w:noProof/>
          <w:lang w:val="de-AT" w:eastAsia="de-AT"/>
        </w:rPr>
        <w:drawing>
          <wp:inline distT="0" distB="0" distL="0" distR="0">
            <wp:extent cx="4481224" cy="2381693"/>
            <wp:effectExtent l="19050" t="0" r="14576" b="0"/>
            <wp:docPr id="11" name="Graf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333AE" w:rsidRDefault="00CD2294" w:rsidP="00CD2294">
      <w:pPr>
        <w:pStyle w:val="Beschriftung"/>
        <w:jc w:val="center"/>
        <w:rPr>
          <w:color w:val="auto"/>
          <w:lang w:val="en-US"/>
        </w:rPr>
      </w:pPr>
      <w:bookmarkStart w:id="38" w:name="_Toc294469014"/>
      <w:r w:rsidRPr="00CD2294">
        <w:rPr>
          <w:color w:val="auto"/>
        </w:rPr>
        <w:t xml:space="preserve">Figure </w:t>
      </w:r>
      <w:r w:rsidR="002A0101" w:rsidRPr="00CD2294">
        <w:rPr>
          <w:color w:val="auto"/>
        </w:rPr>
        <w:fldChar w:fldCharType="begin"/>
      </w:r>
      <w:r w:rsidRPr="00CD2294">
        <w:rPr>
          <w:color w:val="auto"/>
        </w:rPr>
        <w:instrText xml:space="preserve"> SEQ Figure \* ARABIC </w:instrText>
      </w:r>
      <w:r w:rsidR="002A0101" w:rsidRPr="00CD2294">
        <w:rPr>
          <w:color w:val="auto"/>
        </w:rPr>
        <w:fldChar w:fldCharType="separate"/>
      </w:r>
      <w:r w:rsidR="00904569">
        <w:rPr>
          <w:noProof/>
          <w:color w:val="auto"/>
        </w:rPr>
        <w:t>13</w:t>
      </w:r>
      <w:r w:rsidR="002A0101" w:rsidRPr="00CD2294">
        <w:rPr>
          <w:color w:val="auto"/>
        </w:rPr>
        <w:fldChar w:fldCharType="end"/>
      </w:r>
      <w:r w:rsidR="0070319C">
        <w:rPr>
          <w:color w:val="auto"/>
        </w:rPr>
        <w:t>:</w:t>
      </w:r>
      <w:r w:rsidRPr="00CD2294">
        <w:rPr>
          <w:color w:val="auto"/>
          <w:lang w:val="en-US"/>
        </w:rPr>
        <w:t xml:space="preserve"> CZ bioethanol home production, gross consumption, import and export in t, annual</w:t>
      </w:r>
      <w:r w:rsidR="00B67D73">
        <w:rPr>
          <w:rStyle w:val="Funotenzeichen"/>
          <w:color w:val="auto"/>
          <w:lang w:val="en-US"/>
        </w:rPr>
        <w:footnoteReference w:id="30"/>
      </w:r>
      <w:bookmarkEnd w:id="38"/>
    </w:p>
    <w:p w:rsidR="006F18EC" w:rsidRPr="006F18EC" w:rsidRDefault="006F18EC" w:rsidP="006F18EC">
      <w:pPr>
        <w:rPr>
          <w:lang w:val="en-US"/>
        </w:rPr>
      </w:pPr>
    </w:p>
    <w:p w:rsidR="009333AE" w:rsidRPr="0070319C" w:rsidRDefault="006F18EC" w:rsidP="00D610E7">
      <w:pPr>
        <w:rPr>
          <w:noProof/>
          <w:lang w:eastAsia="cs-CZ"/>
        </w:rPr>
      </w:pPr>
      <w:r>
        <w:rPr>
          <w:noProof/>
          <w:lang w:eastAsia="cs-CZ"/>
        </w:rPr>
        <w:t>The next figures describe</w:t>
      </w:r>
      <w:r w:rsidR="009333AE" w:rsidRPr="004558EF">
        <w:rPr>
          <w:noProof/>
          <w:lang w:eastAsia="cs-CZ"/>
        </w:rPr>
        <w:t xml:space="preserve"> the development of the home production and gross consumption of FAME and bioethanol in the Czech Republic</w:t>
      </w:r>
      <w:r w:rsidR="00721FD9">
        <w:rPr>
          <w:noProof/>
          <w:lang w:eastAsia="cs-CZ"/>
        </w:rPr>
        <w:t xml:space="preserve"> per month</w:t>
      </w:r>
      <w:r w:rsidR="009333AE" w:rsidRPr="004558EF">
        <w:rPr>
          <w:noProof/>
          <w:lang w:eastAsia="cs-CZ"/>
        </w:rPr>
        <w:t>.</w:t>
      </w:r>
    </w:p>
    <w:p w:rsidR="00CD2294" w:rsidRDefault="00E67354" w:rsidP="00CD2294">
      <w:pPr>
        <w:jc w:val="center"/>
      </w:pPr>
      <w:r w:rsidRPr="004558EF">
        <w:rPr>
          <w:noProof/>
          <w:lang w:val="de-AT" w:eastAsia="de-AT"/>
        </w:rPr>
        <w:drawing>
          <wp:inline distT="0" distB="0" distL="0" distR="0">
            <wp:extent cx="5972317" cy="2825087"/>
            <wp:effectExtent l="19050" t="0" r="28433" b="0"/>
            <wp:docPr id="12" name="Graf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0319C" w:rsidRPr="0070319C" w:rsidRDefault="00CD2294" w:rsidP="0070319C">
      <w:pPr>
        <w:jc w:val="center"/>
        <w:rPr>
          <w:b/>
          <w:sz w:val="18"/>
          <w:szCs w:val="18"/>
          <w:lang w:val="en-US"/>
        </w:rPr>
      </w:pPr>
      <w:bookmarkStart w:id="39" w:name="_Toc294469015"/>
      <w:r w:rsidRPr="0070319C">
        <w:rPr>
          <w:b/>
          <w:sz w:val="18"/>
          <w:szCs w:val="18"/>
        </w:rPr>
        <w:t xml:space="preserve">Figure </w:t>
      </w:r>
      <w:r w:rsidR="002A0101" w:rsidRPr="0070319C">
        <w:rPr>
          <w:b/>
          <w:sz w:val="18"/>
          <w:szCs w:val="18"/>
        </w:rPr>
        <w:fldChar w:fldCharType="begin"/>
      </w:r>
      <w:r w:rsidRPr="0070319C">
        <w:rPr>
          <w:b/>
          <w:sz w:val="18"/>
          <w:szCs w:val="18"/>
        </w:rPr>
        <w:instrText xml:space="preserve"> SEQ Figure \* ARABIC </w:instrText>
      </w:r>
      <w:r w:rsidR="002A0101" w:rsidRPr="0070319C">
        <w:rPr>
          <w:b/>
          <w:sz w:val="18"/>
          <w:szCs w:val="18"/>
        </w:rPr>
        <w:fldChar w:fldCharType="separate"/>
      </w:r>
      <w:r w:rsidR="00904569">
        <w:rPr>
          <w:b/>
          <w:noProof/>
          <w:sz w:val="18"/>
          <w:szCs w:val="18"/>
        </w:rPr>
        <w:t>14</w:t>
      </w:r>
      <w:r w:rsidR="002A0101" w:rsidRPr="0070319C">
        <w:rPr>
          <w:b/>
          <w:sz w:val="18"/>
          <w:szCs w:val="18"/>
        </w:rPr>
        <w:fldChar w:fldCharType="end"/>
      </w:r>
      <w:r w:rsidR="0070319C">
        <w:rPr>
          <w:b/>
          <w:sz w:val="18"/>
          <w:szCs w:val="18"/>
        </w:rPr>
        <w:t>:</w:t>
      </w:r>
      <w:r w:rsidRPr="0070319C">
        <w:rPr>
          <w:b/>
          <w:sz w:val="18"/>
          <w:szCs w:val="18"/>
          <w:lang w:val="en-US"/>
        </w:rPr>
        <w:t xml:space="preserve"> </w:t>
      </w:r>
      <w:r w:rsidR="0070319C" w:rsidRPr="0070319C">
        <w:rPr>
          <w:b/>
          <w:sz w:val="18"/>
          <w:szCs w:val="18"/>
          <w:lang w:val="en-US"/>
        </w:rPr>
        <w:t>CZ FAME home production and gross consumption in t monthly</w:t>
      </w:r>
      <w:r w:rsidR="00B67D73">
        <w:rPr>
          <w:rStyle w:val="Funotenzeichen"/>
          <w:b/>
          <w:sz w:val="18"/>
          <w:szCs w:val="18"/>
          <w:lang w:val="en-US"/>
        </w:rPr>
        <w:footnoteReference w:id="31"/>
      </w:r>
      <w:bookmarkEnd w:id="39"/>
    </w:p>
    <w:p w:rsidR="009333AE" w:rsidRPr="0070319C" w:rsidRDefault="009333AE" w:rsidP="00CD2294">
      <w:pPr>
        <w:pStyle w:val="Beschriftung"/>
        <w:jc w:val="center"/>
        <w:rPr>
          <w:noProof/>
          <w:color w:val="auto"/>
          <w:lang w:val="en-US" w:eastAsia="cs-CZ"/>
        </w:rPr>
      </w:pPr>
    </w:p>
    <w:p w:rsidR="009333AE" w:rsidRPr="004558EF" w:rsidRDefault="009333AE" w:rsidP="00D610E7">
      <w:pPr>
        <w:rPr>
          <w:noProof/>
          <w:lang w:eastAsia="cs-CZ"/>
        </w:rPr>
      </w:pPr>
    </w:p>
    <w:p w:rsidR="0070319C" w:rsidRDefault="00E67354" w:rsidP="0070319C">
      <w:pPr>
        <w:jc w:val="center"/>
      </w:pPr>
      <w:r w:rsidRPr="004558EF">
        <w:rPr>
          <w:noProof/>
          <w:lang w:val="de-AT" w:eastAsia="de-AT"/>
        </w:rPr>
        <w:lastRenderedPageBreak/>
        <w:drawing>
          <wp:inline distT="0" distB="0" distL="0" distR="0">
            <wp:extent cx="5544470" cy="2483893"/>
            <wp:effectExtent l="19050" t="0" r="18130" b="0"/>
            <wp:docPr id="13" name="Graf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333AE" w:rsidRPr="004558EF" w:rsidRDefault="0070319C" w:rsidP="0070319C">
      <w:pPr>
        <w:pStyle w:val="Beschriftung"/>
        <w:jc w:val="center"/>
        <w:rPr>
          <w:noProof/>
          <w:lang w:eastAsia="cs-CZ"/>
        </w:rPr>
      </w:pPr>
      <w:bookmarkStart w:id="40" w:name="_Toc294469016"/>
      <w:r w:rsidRPr="0070319C">
        <w:rPr>
          <w:color w:val="auto"/>
        </w:rPr>
        <w:t xml:space="preserve">Figure </w:t>
      </w:r>
      <w:r w:rsidR="002A0101" w:rsidRPr="0070319C">
        <w:rPr>
          <w:color w:val="auto"/>
        </w:rPr>
        <w:fldChar w:fldCharType="begin"/>
      </w:r>
      <w:r w:rsidRPr="0070319C">
        <w:rPr>
          <w:color w:val="auto"/>
        </w:rPr>
        <w:instrText xml:space="preserve"> SEQ Figure \* ARABIC </w:instrText>
      </w:r>
      <w:r w:rsidR="002A0101" w:rsidRPr="0070319C">
        <w:rPr>
          <w:color w:val="auto"/>
        </w:rPr>
        <w:fldChar w:fldCharType="separate"/>
      </w:r>
      <w:r w:rsidR="00904569">
        <w:rPr>
          <w:noProof/>
          <w:color w:val="auto"/>
        </w:rPr>
        <w:t>15</w:t>
      </w:r>
      <w:r w:rsidR="002A0101" w:rsidRPr="0070319C">
        <w:rPr>
          <w:color w:val="auto"/>
        </w:rPr>
        <w:fldChar w:fldCharType="end"/>
      </w:r>
      <w:r w:rsidR="00EA4BA0">
        <w:rPr>
          <w:color w:val="auto"/>
        </w:rPr>
        <w:t>:</w:t>
      </w:r>
      <w:r w:rsidRPr="0070319C">
        <w:rPr>
          <w:color w:val="auto"/>
          <w:lang w:val="en-US"/>
        </w:rPr>
        <w:t xml:space="preserve"> CZ bioetha</w:t>
      </w:r>
      <w:r w:rsidRPr="00CD2294">
        <w:rPr>
          <w:color w:val="auto"/>
          <w:lang w:val="en-US"/>
        </w:rPr>
        <w:t>nol home production and gross consumption in t monthly</w:t>
      </w:r>
      <w:r w:rsidR="00B67D73">
        <w:rPr>
          <w:rStyle w:val="Funotenzeichen"/>
          <w:color w:val="auto"/>
          <w:lang w:val="en-US"/>
        </w:rPr>
        <w:footnoteReference w:id="32"/>
      </w:r>
      <w:bookmarkEnd w:id="40"/>
    </w:p>
    <w:p w:rsidR="009333AE" w:rsidRPr="007139D2" w:rsidRDefault="009333AE" w:rsidP="007139D2">
      <w:pPr>
        <w:pStyle w:val="berschrift3"/>
        <w:rPr>
          <w:lang w:val="en-US"/>
        </w:rPr>
      </w:pPr>
      <w:bookmarkStart w:id="41" w:name="_Toc294469082"/>
      <w:r w:rsidRPr="007139D2">
        <w:rPr>
          <w:lang w:val="en-US"/>
        </w:rPr>
        <w:t xml:space="preserve">Food price </w:t>
      </w:r>
      <w:r w:rsidR="004F6AE8">
        <w:rPr>
          <w:lang w:val="en-US"/>
        </w:rPr>
        <w:t>vs. biofuels production</w:t>
      </w:r>
      <w:r w:rsidRPr="007139D2">
        <w:rPr>
          <w:lang w:val="en-US"/>
        </w:rPr>
        <w:t xml:space="preserve"> </w:t>
      </w:r>
      <w:r w:rsidR="004F6AE8">
        <w:rPr>
          <w:lang w:val="en-US"/>
        </w:rPr>
        <w:t>(</w:t>
      </w:r>
      <w:r w:rsidRPr="007139D2">
        <w:rPr>
          <w:lang w:val="en-US"/>
        </w:rPr>
        <w:t>econometric analysis</w:t>
      </w:r>
      <w:r w:rsidR="004F6AE8">
        <w:rPr>
          <w:lang w:val="en-US"/>
        </w:rPr>
        <w:t>)</w:t>
      </w:r>
      <w:bookmarkEnd w:id="41"/>
    </w:p>
    <w:p w:rsidR="009333AE" w:rsidRPr="004558EF" w:rsidRDefault="009333AE" w:rsidP="00D610E7">
      <w:pPr>
        <w:rPr>
          <w:lang w:val="en-US"/>
        </w:rPr>
      </w:pPr>
      <w:r w:rsidRPr="004558EF">
        <w:rPr>
          <w:lang w:val="en-US"/>
        </w:rPr>
        <w:t xml:space="preserve">In this section the econometric analysis of the impact of biofuels production on food prices will be conducted. Data sources for production of biofuels (FAME and bioethanol) in Czech Republic are Ministry of Industry and Trade in Czech Republic, Czech Statistical Office and FAOSTAT. The main hypothesis used in the analysis is that an increase in the production of biofuels, resp. in sewing areas, evokes an increase in food prices, i.e. price of bread and inflation rate as a proxy. The following graphs demonstrate the development of the price of bread. The increasing trend was little bit interrupted by the financial and economic crisis in 2007 to 2009. </w:t>
      </w:r>
    </w:p>
    <w:p w:rsidR="00904569" w:rsidRPr="00904569" w:rsidRDefault="00E67354" w:rsidP="00904569">
      <w:pPr>
        <w:jc w:val="center"/>
      </w:pPr>
      <w:r w:rsidRPr="00904569">
        <w:rPr>
          <w:noProof/>
          <w:lang w:val="de-AT" w:eastAsia="de-AT"/>
        </w:rPr>
        <w:drawing>
          <wp:inline distT="0" distB="0" distL="0" distR="0">
            <wp:extent cx="4572762" cy="2746629"/>
            <wp:effectExtent l="12192" t="6096" r="6096" b="0"/>
            <wp:docPr id="14" name="Graf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333AE" w:rsidRPr="00904569" w:rsidRDefault="00904569" w:rsidP="00904569">
      <w:pPr>
        <w:pStyle w:val="Beschriftung"/>
        <w:jc w:val="center"/>
        <w:rPr>
          <w:noProof/>
          <w:color w:val="auto"/>
          <w:lang w:eastAsia="cs-CZ"/>
        </w:rPr>
      </w:pPr>
      <w:bookmarkStart w:id="42" w:name="_Toc294469017"/>
      <w:r w:rsidRPr="00904569">
        <w:rPr>
          <w:color w:val="auto"/>
        </w:rPr>
        <w:t xml:space="preserve">Figure </w:t>
      </w:r>
      <w:r w:rsidR="002A0101" w:rsidRPr="00904569">
        <w:rPr>
          <w:color w:val="auto"/>
        </w:rPr>
        <w:fldChar w:fldCharType="begin"/>
      </w:r>
      <w:r w:rsidRPr="00904569">
        <w:rPr>
          <w:color w:val="auto"/>
        </w:rPr>
        <w:instrText xml:space="preserve"> SEQ Figure \* ARABIC </w:instrText>
      </w:r>
      <w:r w:rsidR="002A0101" w:rsidRPr="00904569">
        <w:rPr>
          <w:color w:val="auto"/>
        </w:rPr>
        <w:fldChar w:fldCharType="separate"/>
      </w:r>
      <w:r w:rsidRPr="00904569">
        <w:rPr>
          <w:noProof/>
          <w:color w:val="auto"/>
        </w:rPr>
        <w:t>16</w:t>
      </w:r>
      <w:r w:rsidR="002A0101" w:rsidRPr="00904569">
        <w:rPr>
          <w:color w:val="auto"/>
        </w:rPr>
        <w:fldChar w:fldCharType="end"/>
      </w:r>
      <w:r w:rsidRPr="00904569">
        <w:rPr>
          <w:color w:val="auto"/>
        </w:rPr>
        <w:t>: Price of bread in CZK/kg</w:t>
      </w:r>
      <w:r>
        <w:rPr>
          <w:rStyle w:val="Funotenzeichen"/>
          <w:color w:val="auto"/>
        </w:rPr>
        <w:footnoteReference w:id="33"/>
      </w:r>
      <w:bookmarkEnd w:id="42"/>
    </w:p>
    <w:p w:rsidR="004C4E3A" w:rsidRDefault="004C4E3A" w:rsidP="00D610E7">
      <w:pPr>
        <w:rPr>
          <w:lang w:val="en-US"/>
        </w:rPr>
      </w:pPr>
    </w:p>
    <w:p w:rsidR="009333AE" w:rsidRPr="004558EF" w:rsidRDefault="004C4E3A" w:rsidP="00D610E7">
      <w:pPr>
        <w:rPr>
          <w:lang w:val="en-US"/>
        </w:rPr>
      </w:pPr>
      <w:r>
        <w:rPr>
          <w:lang w:val="en-US"/>
        </w:rPr>
        <w:t xml:space="preserve">As for the analysis of Austrian prices the same </w:t>
      </w:r>
      <w:r w:rsidR="009333AE" w:rsidRPr="004558EF">
        <w:rPr>
          <w:lang w:val="en-US"/>
        </w:rPr>
        <w:t xml:space="preserve">model is used </w:t>
      </w:r>
      <w:r>
        <w:rPr>
          <w:lang w:val="en-US"/>
        </w:rPr>
        <w:t>for Czech Republic:</w:t>
      </w:r>
    </w:p>
    <w:p w:rsidR="009333AE" w:rsidRPr="004C4E3A" w:rsidRDefault="009333AE" w:rsidP="00D610E7">
      <w:pPr>
        <w:rPr>
          <w:b/>
          <w:lang w:val="en-US"/>
        </w:rPr>
      </w:pPr>
      <w:r w:rsidRPr="004C4E3A">
        <w:rPr>
          <w:b/>
          <w:lang w:val="en-US"/>
        </w:rPr>
        <w:t>P(bread) =  a</w:t>
      </w:r>
      <w:r w:rsidRPr="004C4E3A">
        <w:rPr>
          <w:b/>
          <w:vertAlign w:val="subscript"/>
          <w:lang w:val="en-US"/>
        </w:rPr>
        <w:t>1</w:t>
      </w:r>
      <w:r w:rsidRPr="004C4E3A">
        <w:rPr>
          <w:b/>
          <w:lang w:val="en-US"/>
        </w:rPr>
        <w:t xml:space="preserve"> UV + a</w:t>
      </w:r>
      <w:r w:rsidRPr="004C4E3A">
        <w:rPr>
          <w:b/>
          <w:vertAlign w:val="subscript"/>
          <w:lang w:val="en-US"/>
        </w:rPr>
        <w:t>2</w:t>
      </w:r>
      <w:r w:rsidRPr="004C4E3A">
        <w:rPr>
          <w:b/>
          <w:lang w:val="en-US"/>
        </w:rPr>
        <w:t>X + u</w:t>
      </w:r>
      <w:r w:rsidRPr="004C4E3A">
        <w:rPr>
          <w:b/>
          <w:vertAlign w:val="subscript"/>
          <w:lang w:val="en-US"/>
        </w:rPr>
        <w:t>t ,</w:t>
      </w:r>
    </w:p>
    <w:p w:rsidR="00B54090" w:rsidRPr="004558EF" w:rsidRDefault="009333AE" w:rsidP="00D610E7">
      <w:pPr>
        <w:rPr>
          <w:lang w:val="en-US"/>
        </w:rPr>
      </w:pPr>
      <w:r w:rsidRPr="004558EF">
        <w:rPr>
          <w:lang w:val="en-US"/>
        </w:rPr>
        <w:lastRenderedPageBreak/>
        <w:t>Inflation rate and FAO food price index are utilized in the next equations instead of price of bread (P) and production of FAME and bioethanol instead of X in the first and second equation and variants of them.</w:t>
      </w:r>
      <w:r w:rsidR="004C4E3A">
        <w:rPr>
          <w:lang w:val="en-US"/>
        </w:rPr>
        <w:t xml:space="preserve"> </w:t>
      </w:r>
      <w:r w:rsidRPr="004558EF">
        <w:rPr>
          <w:lang w:val="en-US"/>
        </w:rPr>
        <w:t xml:space="preserve">The data for biofuels production </w:t>
      </w:r>
      <w:r w:rsidR="004C4E3A">
        <w:rPr>
          <w:lang w:val="en-US"/>
        </w:rPr>
        <w:t>is taken</w:t>
      </w:r>
      <w:r w:rsidRPr="004558EF">
        <w:rPr>
          <w:lang w:val="en-US"/>
        </w:rPr>
        <w:t xml:space="preserve"> from the website of the Ministry of Trade and Industry, the data for food prices are from the Czech Statistical Office.</w:t>
      </w:r>
      <w:r w:rsidR="004C4E3A">
        <w:rPr>
          <w:lang w:val="en-US"/>
        </w:rPr>
        <w:t xml:space="preserve"> Again for Czech Republic </w:t>
      </w:r>
      <w:r w:rsidR="00B54090" w:rsidRPr="004558EF">
        <w:rPr>
          <w:lang w:val="en-US"/>
        </w:rPr>
        <w:t xml:space="preserve">tests for our model were not very satisfactory because </w:t>
      </w:r>
      <w:r w:rsidR="004C4E3A">
        <w:rPr>
          <w:lang w:val="en-US"/>
        </w:rPr>
        <w:t>we have too short data series.</w:t>
      </w:r>
    </w:p>
    <w:p w:rsidR="00B54090" w:rsidRPr="004C4E3A" w:rsidRDefault="00B54090" w:rsidP="00D610E7">
      <w:pPr>
        <w:rPr>
          <w:b/>
          <w:lang w:val="en-US"/>
        </w:rPr>
      </w:pPr>
      <w:r w:rsidRPr="004C4E3A">
        <w:rPr>
          <w:b/>
          <w:lang w:val="en-US"/>
        </w:rPr>
        <w:t>P(barley) = 2875.92 + 0.00852748X,</w:t>
      </w:r>
    </w:p>
    <w:p w:rsidR="00B54090" w:rsidRPr="004558EF" w:rsidRDefault="00B54090" w:rsidP="00D610E7">
      <w:pPr>
        <w:rPr>
          <w:lang w:val="en-US"/>
        </w:rPr>
      </w:pPr>
      <w:r w:rsidRPr="004558EF">
        <w:rPr>
          <w:lang w:val="en-US"/>
        </w:rPr>
        <w:t xml:space="preserve">where P is the price of barley in CZK per </w:t>
      </w:r>
      <w:r w:rsidR="000562A0">
        <w:rPr>
          <w:lang w:val="en-US"/>
        </w:rPr>
        <w:t>tonne</w:t>
      </w:r>
      <w:r w:rsidRPr="004558EF">
        <w:rPr>
          <w:lang w:val="en-US"/>
        </w:rPr>
        <w:t xml:space="preserve"> in the Czech market and X is the production of biodiesel (FAME) in the Czech Republic in </w:t>
      </w:r>
      <w:r w:rsidR="000562A0">
        <w:rPr>
          <w:lang w:val="en-US"/>
        </w:rPr>
        <w:t>tonne</w:t>
      </w:r>
      <w:r w:rsidRPr="004558EF">
        <w:rPr>
          <w:lang w:val="en-US"/>
        </w:rPr>
        <w:t xml:space="preserve">s. The parameter 0.00852748 means that an increase in the production of FAME of 1 </w:t>
      </w:r>
      <w:r w:rsidR="000562A0">
        <w:rPr>
          <w:lang w:val="en-US"/>
        </w:rPr>
        <w:t>tonne</w:t>
      </w:r>
      <w:r w:rsidRPr="004558EF">
        <w:rPr>
          <w:lang w:val="en-US"/>
        </w:rPr>
        <w:t xml:space="preserve"> causes an increase in the price of barley by 0.00852748 CZK/t</w:t>
      </w:r>
      <w:r w:rsidRPr="004558EF">
        <w:rPr>
          <w:rStyle w:val="Funotenzeichen"/>
          <w:rFonts w:cs="Arial"/>
          <w:lang w:val="en-US"/>
        </w:rPr>
        <w:footnoteReference w:id="34"/>
      </w:r>
      <w:r w:rsidRPr="004558EF">
        <w:rPr>
          <w:lang w:val="en-US"/>
        </w:rPr>
        <w:t>.  In the equation with price of wheat in CZK/t the parameter a</w:t>
      </w:r>
      <w:r w:rsidRPr="004558EF">
        <w:rPr>
          <w:vertAlign w:val="subscript"/>
          <w:lang w:val="en-US"/>
        </w:rPr>
        <w:t>2</w:t>
      </w:r>
      <w:r w:rsidRPr="004558EF">
        <w:rPr>
          <w:lang w:val="en-US"/>
        </w:rPr>
        <w:t xml:space="preserve"> was estimated to </w:t>
      </w:r>
      <w:r w:rsidRPr="004558EF">
        <w:rPr>
          <w:lang w:eastAsia="cs-CZ"/>
        </w:rPr>
        <w:t>0.000364147 and the constant was 105.483 (not statistically significant estimations)</w:t>
      </w:r>
      <w:r w:rsidRPr="004558EF">
        <w:rPr>
          <w:lang w:val="en-US"/>
        </w:rPr>
        <w:t>.</w:t>
      </w:r>
    </w:p>
    <w:p w:rsidR="00DC7746" w:rsidRDefault="00DC7746" w:rsidP="00D610E7">
      <w:pPr>
        <w:rPr>
          <w:lang w:val="en-US"/>
        </w:rPr>
      </w:pPr>
      <w:r>
        <w:rPr>
          <w:lang w:val="en-US"/>
        </w:rPr>
        <w:t>Further results were:</w:t>
      </w:r>
    </w:p>
    <w:p w:rsidR="004C4E3A" w:rsidRPr="00DC7746" w:rsidRDefault="004C4E3A" w:rsidP="00DC7746">
      <w:pPr>
        <w:pStyle w:val="Aufzhlung"/>
        <w:rPr>
          <w:lang w:val="en-US"/>
        </w:rPr>
      </w:pPr>
      <w:r w:rsidRPr="00DC7746">
        <w:rPr>
          <w:lang w:val="en-US"/>
        </w:rPr>
        <w:t>An</w:t>
      </w:r>
      <w:r w:rsidR="00B54090" w:rsidRPr="00DC7746">
        <w:rPr>
          <w:lang w:val="en-US"/>
        </w:rPr>
        <w:t xml:space="preserve"> increase in the area of rapeseed of 1 ha causes an increase in the price of barley by 0.00768267 CZK/t</w:t>
      </w:r>
    </w:p>
    <w:p w:rsidR="004C4E3A" w:rsidRPr="00A92145" w:rsidRDefault="004C4E3A" w:rsidP="00DC7746">
      <w:pPr>
        <w:pStyle w:val="Aufzhlung"/>
        <w:rPr>
          <w:rFonts w:cs="Arial"/>
          <w:lang w:val="en-US"/>
        </w:rPr>
      </w:pPr>
      <w:r w:rsidRPr="00A92145">
        <w:rPr>
          <w:lang w:val="en-US"/>
        </w:rPr>
        <w:t>An</w:t>
      </w:r>
      <w:r w:rsidR="00B54090" w:rsidRPr="00A92145">
        <w:rPr>
          <w:lang w:val="en-US"/>
        </w:rPr>
        <w:t xml:space="preserve"> increase in the production of biodiesel (FAME) of 1 </w:t>
      </w:r>
      <w:r w:rsidR="000562A0" w:rsidRPr="00A92145">
        <w:rPr>
          <w:lang w:val="en-US"/>
        </w:rPr>
        <w:t>tonne</w:t>
      </w:r>
      <w:r w:rsidR="00B54090" w:rsidRPr="00A92145">
        <w:rPr>
          <w:lang w:val="en-US"/>
        </w:rPr>
        <w:t xml:space="preserve"> causes an increase in the price of bread roll of </w:t>
      </w:r>
      <w:r w:rsidR="00B54090" w:rsidRPr="00A92145">
        <w:rPr>
          <w:lang w:val="en-US" w:eastAsia="cs-CZ"/>
        </w:rPr>
        <w:t>0.03131 CZK per kilo</w:t>
      </w:r>
    </w:p>
    <w:p w:rsidR="004C4E3A" w:rsidRPr="00A92145" w:rsidRDefault="004C4E3A" w:rsidP="00DC7746">
      <w:pPr>
        <w:pStyle w:val="Aufzhlung"/>
        <w:rPr>
          <w:lang w:val="en-US"/>
        </w:rPr>
      </w:pPr>
      <w:r w:rsidRPr="00A92145">
        <w:rPr>
          <w:rFonts w:cs="Arial"/>
          <w:lang w:val="en-US"/>
        </w:rPr>
        <w:t>A</w:t>
      </w:r>
      <w:r w:rsidR="00B54090" w:rsidRPr="00A92145">
        <w:rPr>
          <w:lang w:val="en-US" w:eastAsia="cs-CZ"/>
        </w:rPr>
        <w:t xml:space="preserve">n increase in the FAME production by 1 </w:t>
      </w:r>
      <w:r w:rsidR="000562A0" w:rsidRPr="00A92145">
        <w:rPr>
          <w:lang w:val="en-US" w:eastAsia="cs-CZ"/>
        </w:rPr>
        <w:t>tonne</w:t>
      </w:r>
      <w:r w:rsidR="00B54090" w:rsidRPr="00A92145">
        <w:rPr>
          <w:lang w:val="en-US" w:eastAsia="cs-CZ"/>
        </w:rPr>
        <w:t xml:space="preserve"> decreases the price of </w:t>
      </w:r>
      <w:r w:rsidR="00B54090" w:rsidRPr="00A92145">
        <w:rPr>
          <w:lang w:val="en-US"/>
        </w:rPr>
        <w:t>wheat flour</w:t>
      </w:r>
      <w:r w:rsidR="00B54090" w:rsidRPr="00A92145">
        <w:rPr>
          <w:lang w:val="en-US" w:eastAsia="cs-CZ"/>
        </w:rPr>
        <w:t xml:space="preserve"> by 0.0126 CZK per kilo</w:t>
      </w:r>
    </w:p>
    <w:p w:rsidR="00B54090" w:rsidRPr="00A92145" w:rsidRDefault="004C4E3A" w:rsidP="00DC7746">
      <w:pPr>
        <w:pStyle w:val="Aufzhlung"/>
        <w:rPr>
          <w:rFonts w:eastAsia="Times New Roman"/>
          <w:color w:val="000000"/>
          <w:lang w:val="en-US" w:eastAsia="cs-CZ"/>
        </w:rPr>
      </w:pPr>
      <w:r w:rsidRPr="00A92145">
        <w:rPr>
          <w:lang w:val="en-US"/>
        </w:rPr>
        <w:t xml:space="preserve">An </w:t>
      </w:r>
      <w:r w:rsidR="00B54090" w:rsidRPr="00A92145">
        <w:rPr>
          <w:lang w:val="en-US" w:eastAsia="cs-CZ"/>
        </w:rPr>
        <w:t xml:space="preserve">increase in the FAME production by 1 </w:t>
      </w:r>
      <w:r w:rsidR="000562A0" w:rsidRPr="00A92145">
        <w:rPr>
          <w:lang w:val="en-US" w:eastAsia="cs-CZ"/>
        </w:rPr>
        <w:t>tonne</w:t>
      </w:r>
      <w:r w:rsidR="00B54090" w:rsidRPr="00A92145">
        <w:rPr>
          <w:lang w:val="en-US" w:eastAsia="cs-CZ"/>
        </w:rPr>
        <w:t xml:space="preserve"> increases the price of </w:t>
      </w:r>
      <w:r w:rsidR="00B54090" w:rsidRPr="00A92145">
        <w:rPr>
          <w:lang w:val="en-US"/>
        </w:rPr>
        <w:t>wheat flour by</w:t>
      </w:r>
      <w:r w:rsidR="00B54090" w:rsidRPr="00A92145">
        <w:rPr>
          <w:lang w:val="en-US" w:eastAsia="cs-CZ"/>
        </w:rPr>
        <w:t xml:space="preserve"> 0.00010813 CZK per kilo</w:t>
      </w:r>
    </w:p>
    <w:p w:rsidR="00B54090" w:rsidRPr="00A92145" w:rsidRDefault="004C4E3A" w:rsidP="00DC7746">
      <w:pPr>
        <w:pStyle w:val="Aufzhlung"/>
        <w:rPr>
          <w:lang w:val="en-US"/>
        </w:rPr>
      </w:pPr>
      <w:r w:rsidRPr="00A92145">
        <w:rPr>
          <w:lang w:val="en-US"/>
        </w:rPr>
        <w:t xml:space="preserve">An </w:t>
      </w:r>
      <w:r w:rsidR="00B54090" w:rsidRPr="00A92145">
        <w:rPr>
          <w:rFonts w:eastAsia="Times New Roman"/>
          <w:color w:val="000000"/>
          <w:lang w:val="en-US" w:eastAsia="cs-CZ"/>
        </w:rPr>
        <w:t>increase</w:t>
      </w:r>
      <w:r w:rsidR="00B54090" w:rsidRPr="00A92145">
        <w:rPr>
          <w:lang w:val="en-US"/>
        </w:rPr>
        <w:t xml:space="preserve"> in the area of rape of 1 ha causes an increase in the price of bread roll of 0.030277 CZK per kilo</w:t>
      </w:r>
    </w:p>
    <w:p w:rsidR="00B54090" w:rsidRPr="00A92145" w:rsidRDefault="00DC7746" w:rsidP="00DC7746">
      <w:pPr>
        <w:pStyle w:val="Aufzhlung"/>
        <w:rPr>
          <w:lang w:val="en-US"/>
        </w:rPr>
      </w:pPr>
      <w:r w:rsidRPr="00A92145">
        <w:rPr>
          <w:lang w:val="en-US"/>
        </w:rPr>
        <w:t>A</w:t>
      </w:r>
      <w:r w:rsidR="004C4E3A" w:rsidRPr="00A92145">
        <w:rPr>
          <w:lang w:val="en-US"/>
        </w:rPr>
        <w:t xml:space="preserve">n </w:t>
      </w:r>
      <w:r w:rsidR="00B54090" w:rsidRPr="00A92145">
        <w:rPr>
          <w:rFonts w:eastAsia="Times New Roman"/>
          <w:color w:val="000000"/>
          <w:lang w:val="en-US" w:eastAsia="cs-CZ"/>
        </w:rPr>
        <w:t>increase</w:t>
      </w:r>
      <w:r w:rsidR="00B54090" w:rsidRPr="00A92145">
        <w:rPr>
          <w:lang w:val="en-US"/>
        </w:rPr>
        <w:t xml:space="preserve"> in the area of rape of 1 ha causes an increase in the price of wheat flour of 0.004324 CZK per kilo</w:t>
      </w:r>
    </w:p>
    <w:p w:rsidR="00B54090" w:rsidRPr="00A92145" w:rsidRDefault="004C4E3A" w:rsidP="00DC7746">
      <w:pPr>
        <w:pStyle w:val="Aufzhlung"/>
        <w:rPr>
          <w:lang w:val="en-US"/>
        </w:rPr>
      </w:pPr>
      <w:r w:rsidRPr="00A92145">
        <w:rPr>
          <w:lang w:val="en-US"/>
        </w:rPr>
        <w:t>An</w:t>
      </w:r>
      <w:r w:rsidR="00B54090" w:rsidRPr="00A92145">
        <w:rPr>
          <w:lang w:val="en-US"/>
        </w:rPr>
        <w:t xml:space="preserve"> an increase in the area of rape of 1 ha causes an increase in the price of wheat flour of </w:t>
      </w:r>
      <w:r w:rsidR="00B54090" w:rsidRPr="00A92145">
        <w:rPr>
          <w:rStyle w:val="Hervorhebung"/>
          <w:b w:val="0"/>
          <w:szCs w:val="22"/>
          <w:lang w:val="en-US"/>
        </w:rPr>
        <w:t>0.000399</w:t>
      </w:r>
      <w:r w:rsidR="00B54090" w:rsidRPr="00A92145">
        <w:rPr>
          <w:lang w:val="en-US"/>
        </w:rPr>
        <w:t xml:space="preserve"> USD per kilo</w:t>
      </w:r>
    </w:p>
    <w:p w:rsidR="00B54090" w:rsidRPr="00A92145" w:rsidRDefault="004C4E3A" w:rsidP="00DC7746">
      <w:pPr>
        <w:pStyle w:val="Aufzhlung"/>
        <w:rPr>
          <w:rFonts w:eastAsia="Times New Roman"/>
          <w:color w:val="000000"/>
          <w:lang w:val="en-US" w:eastAsia="cs-CZ"/>
        </w:rPr>
      </w:pPr>
      <w:r w:rsidRPr="00A92145">
        <w:rPr>
          <w:lang w:val="en-US"/>
        </w:rPr>
        <w:t xml:space="preserve">An </w:t>
      </w:r>
      <w:r w:rsidR="00B54090" w:rsidRPr="00A92145">
        <w:rPr>
          <w:lang w:val="en-US"/>
        </w:rPr>
        <w:t xml:space="preserve">increase in the production of bioethanol of 1 </w:t>
      </w:r>
      <w:r w:rsidR="000562A0" w:rsidRPr="00A92145">
        <w:rPr>
          <w:lang w:val="en-US"/>
        </w:rPr>
        <w:t>tonne</w:t>
      </w:r>
      <w:r w:rsidR="00B54090" w:rsidRPr="00A92145">
        <w:rPr>
          <w:lang w:val="en-US"/>
        </w:rPr>
        <w:t xml:space="preserve"> causes an decrease in the inflation rate of 0.02568 percentage points</w:t>
      </w:r>
    </w:p>
    <w:p w:rsidR="00B54090" w:rsidRPr="00A92145" w:rsidRDefault="004C4E3A" w:rsidP="00DC7746">
      <w:pPr>
        <w:pStyle w:val="Aufzhlung"/>
        <w:rPr>
          <w:lang w:val="en-US"/>
        </w:rPr>
      </w:pPr>
      <w:r w:rsidRPr="00A92145">
        <w:rPr>
          <w:lang w:val="en-US"/>
        </w:rPr>
        <w:t xml:space="preserve">An </w:t>
      </w:r>
      <w:r w:rsidR="00B54090" w:rsidRPr="00A92145">
        <w:rPr>
          <w:rFonts w:eastAsia="Times New Roman"/>
          <w:color w:val="000000"/>
          <w:lang w:val="en-US" w:eastAsia="cs-CZ"/>
        </w:rPr>
        <w:t>increase</w:t>
      </w:r>
      <w:r w:rsidR="00B54090" w:rsidRPr="00A92145">
        <w:rPr>
          <w:lang w:val="en-US"/>
        </w:rPr>
        <w:t xml:space="preserve"> in the production of biodiesel FAME of 1 </w:t>
      </w:r>
      <w:r w:rsidR="000562A0" w:rsidRPr="00A92145">
        <w:rPr>
          <w:lang w:val="en-US"/>
        </w:rPr>
        <w:t>tonne</w:t>
      </w:r>
      <w:r w:rsidR="00B54090" w:rsidRPr="00A92145">
        <w:rPr>
          <w:lang w:val="en-US"/>
        </w:rPr>
        <w:t xml:space="preserve"> causes an decrease in the inflation rate of 0.000212542 percentage point</w:t>
      </w:r>
    </w:p>
    <w:p w:rsidR="009333AE" w:rsidRPr="004558EF" w:rsidRDefault="009333AE" w:rsidP="00D610E7">
      <w:pPr>
        <w:rPr>
          <w:lang w:val="en-US"/>
        </w:rPr>
      </w:pPr>
      <w:r w:rsidRPr="004558EF">
        <w:rPr>
          <w:lang w:val="en-US"/>
        </w:rPr>
        <w:t xml:space="preserve">The main conclusions from our analysis in the Czech Republic are: </w:t>
      </w:r>
    </w:p>
    <w:p w:rsidR="009333AE" w:rsidRPr="006E5714" w:rsidRDefault="004C4E3A" w:rsidP="006E5714">
      <w:pPr>
        <w:pStyle w:val="Listenabsatz"/>
        <w:numPr>
          <w:ilvl w:val="0"/>
          <w:numId w:val="38"/>
        </w:numPr>
        <w:spacing w:line="288" w:lineRule="auto"/>
        <w:ind w:left="714" w:hanging="357"/>
        <w:rPr>
          <w:sz w:val="22"/>
          <w:lang w:val="en-US"/>
        </w:rPr>
      </w:pPr>
      <w:r>
        <w:rPr>
          <w:sz w:val="22"/>
          <w:lang w:val="en-US"/>
        </w:rPr>
        <w:t>R</w:t>
      </w:r>
      <w:r w:rsidR="00B54090" w:rsidRPr="006E5714">
        <w:rPr>
          <w:sz w:val="22"/>
          <w:lang w:val="en-US"/>
        </w:rPr>
        <w:t>ecent monthly data of biofuels production (2006-2010) shows even negative relation to the rate of inflation, but still very close to zero</w:t>
      </w:r>
    </w:p>
    <w:p w:rsidR="00B54090" w:rsidRPr="006E5714" w:rsidRDefault="00B54090" w:rsidP="006E5714">
      <w:pPr>
        <w:pStyle w:val="Listenabsatz"/>
        <w:numPr>
          <w:ilvl w:val="0"/>
          <w:numId w:val="38"/>
        </w:numPr>
        <w:spacing w:line="288" w:lineRule="auto"/>
        <w:ind w:left="714" w:hanging="357"/>
        <w:rPr>
          <w:sz w:val="22"/>
          <w:lang w:val="en-US"/>
        </w:rPr>
      </w:pPr>
      <w:r w:rsidRPr="006E5714">
        <w:rPr>
          <w:sz w:val="22"/>
          <w:lang w:val="en-US"/>
        </w:rPr>
        <w:t>FAME production has bigger effect on prices than the area of rape, but both very close to zero and even negative relation between the FAME production and the price of wheat flour.</w:t>
      </w:r>
    </w:p>
    <w:p w:rsidR="00D85944" w:rsidRDefault="00D85944" w:rsidP="00D85944">
      <w:pPr>
        <w:pStyle w:val="berschrift1"/>
        <w:numPr>
          <w:ilvl w:val="0"/>
          <w:numId w:val="0"/>
        </w:numPr>
        <w:ind w:left="720"/>
        <w:rPr>
          <w:lang w:val="en-US"/>
        </w:rPr>
      </w:pPr>
    </w:p>
    <w:p w:rsidR="009333AE" w:rsidRPr="007139D2" w:rsidRDefault="009333AE" w:rsidP="007139D2">
      <w:pPr>
        <w:pStyle w:val="berschrift1"/>
        <w:rPr>
          <w:lang w:val="en-US"/>
        </w:rPr>
      </w:pPr>
      <w:bookmarkStart w:id="43" w:name="_Toc294469083"/>
      <w:r w:rsidRPr="007139D2">
        <w:rPr>
          <w:lang w:val="en-US"/>
        </w:rPr>
        <w:lastRenderedPageBreak/>
        <w:t>Discussion of results and future perspectives</w:t>
      </w:r>
      <w:bookmarkEnd w:id="43"/>
    </w:p>
    <w:p w:rsidR="009333AE" w:rsidRDefault="00B54090" w:rsidP="00D610E7">
      <w:pPr>
        <w:rPr>
          <w:lang w:val="en-US"/>
        </w:rPr>
      </w:pPr>
      <w:r w:rsidRPr="004558EF">
        <w:rPr>
          <w:lang w:val="en-US"/>
        </w:rPr>
        <w:t xml:space="preserve">It is very hard to prove the relationship between the biofuels production and food prices on the available data. </w:t>
      </w:r>
      <w:r w:rsidR="00DE44C4">
        <w:rPr>
          <w:lang w:val="en-US"/>
        </w:rPr>
        <w:t>Too s</w:t>
      </w:r>
      <w:r w:rsidRPr="004558EF">
        <w:rPr>
          <w:lang w:val="en-US"/>
        </w:rPr>
        <w:t xml:space="preserve">hort time series </w:t>
      </w:r>
      <w:r w:rsidR="00DE44C4">
        <w:rPr>
          <w:lang w:val="en-US"/>
        </w:rPr>
        <w:t>is</w:t>
      </w:r>
      <w:r w:rsidRPr="004558EF">
        <w:rPr>
          <w:lang w:val="en-US"/>
        </w:rPr>
        <w:t xml:space="preserve"> one of the main reasons of the low reliability of the results. The results show little positive relationship between the biofuels production and the food prices, but very close to zero. In some cases we found even negative relationship that</w:t>
      </w:r>
      <w:r w:rsidR="00DE44C4">
        <w:rPr>
          <w:lang w:val="en-US"/>
        </w:rPr>
        <w:t xml:space="preserve"> was against our hypothesis. F</w:t>
      </w:r>
      <w:r w:rsidRPr="004558EF">
        <w:rPr>
          <w:lang w:val="en-US"/>
        </w:rPr>
        <w:t xml:space="preserve">urther research is needed to find out true relationship between the biofuels production and food prices, i.e. the probability of the positive effect of biofuels production on food prices. </w:t>
      </w:r>
      <w:r w:rsidR="003D6F3B">
        <w:rPr>
          <w:lang w:val="en-US"/>
        </w:rPr>
        <w:t>T</w:t>
      </w:r>
      <w:r w:rsidR="003D6F3B" w:rsidRPr="004558EF">
        <w:rPr>
          <w:lang w:val="en-US"/>
        </w:rPr>
        <w:t>he problems of biofuels, especially 1</w:t>
      </w:r>
      <w:r w:rsidR="003D6F3B" w:rsidRPr="004558EF">
        <w:rPr>
          <w:vertAlign w:val="superscript"/>
          <w:lang w:val="en-US"/>
        </w:rPr>
        <w:t>st</w:t>
      </w:r>
      <w:r w:rsidR="003D6F3B" w:rsidRPr="004558EF">
        <w:rPr>
          <w:lang w:val="en-US"/>
        </w:rPr>
        <w:t xml:space="preserve"> generation biofuels </w:t>
      </w:r>
      <w:r w:rsidRPr="004558EF">
        <w:rPr>
          <w:lang w:val="en-US"/>
        </w:rPr>
        <w:t xml:space="preserve">must be </w:t>
      </w:r>
      <w:r w:rsidR="003D6F3B">
        <w:rPr>
          <w:lang w:val="en-US"/>
        </w:rPr>
        <w:t>given</w:t>
      </w:r>
      <w:r w:rsidRPr="004558EF">
        <w:rPr>
          <w:lang w:val="en-US"/>
        </w:rPr>
        <w:t xml:space="preserve"> </w:t>
      </w:r>
      <w:r w:rsidR="003D6F3B">
        <w:rPr>
          <w:lang w:val="en-US"/>
        </w:rPr>
        <w:t>further attention</w:t>
      </w:r>
      <w:r w:rsidRPr="004558EF">
        <w:rPr>
          <w:lang w:val="en-US"/>
        </w:rPr>
        <w:t>, to find out their possible role in our future energy policy.</w:t>
      </w:r>
      <w:r w:rsidR="003D6F3B">
        <w:rPr>
          <w:lang w:val="en-US"/>
        </w:rPr>
        <w:t xml:space="preserve"> F</w:t>
      </w:r>
      <w:r w:rsidR="009333AE" w:rsidRPr="004558EF">
        <w:rPr>
          <w:lang w:val="en-US"/>
        </w:rPr>
        <w:t>uture might belong to 2</w:t>
      </w:r>
      <w:r w:rsidR="009333AE" w:rsidRPr="004558EF">
        <w:rPr>
          <w:vertAlign w:val="superscript"/>
          <w:lang w:val="en-US"/>
        </w:rPr>
        <w:t>nd</w:t>
      </w:r>
      <w:r w:rsidR="009333AE" w:rsidRPr="004558EF">
        <w:rPr>
          <w:lang w:val="en-US"/>
        </w:rPr>
        <w:t xml:space="preserve"> generation biofuels, waste oils, Jatropha-based fuels and algae-based biofuels with much bigger GHG emissions reductions. Many studies show that with more advanced and cheaper technology the algae might be the right way to go, because it has a potential for huge production levels. However, this depend</w:t>
      </w:r>
      <w:r w:rsidR="005E4DC8">
        <w:rPr>
          <w:lang w:val="en-US"/>
        </w:rPr>
        <w:t>s</w:t>
      </w:r>
      <w:r w:rsidR="009333AE" w:rsidRPr="004558EF">
        <w:rPr>
          <w:lang w:val="en-US"/>
        </w:rPr>
        <w:t xml:space="preserve"> on new technological development and further research.</w:t>
      </w:r>
      <w:r w:rsidR="003D6F3B">
        <w:rPr>
          <w:lang w:val="en-US"/>
        </w:rPr>
        <w:t xml:space="preserve"> </w:t>
      </w:r>
    </w:p>
    <w:p w:rsidR="003D6F3B" w:rsidRDefault="003D6F3B" w:rsidP="00D610E7">
      <w:pPr>
        <w:rPr>
          <w:lang w:val="en-US"/>
        </w:rPr>
      </w:pPr>
    </w:p>
    <w:p w:rsidR="00AC067A" w:rsidRPr="007101E2" w:rsidRDefault="00AC067A" w:rsidP="00AC067A">
      <w:pPr>
        <w:rPr>
          <w:b/>
          <w:bCs/>
          <w:lang w:val="de-AT"/>
        </w:rPr>
      </w:pPr>
      <w:r w:rsidRPr="007101E2">
        <w:rPr>
          <w:lang w:val="en-GB"/>
        </w:rPr>
        <w:t>“</w:t>
      </w:r>
      <w:r w:rsidRPr="003D6F3B">
        <w:rPr>
          <w:i/>
          <w:lang w:val="en-GB"/>
        </w:rPr>
        <w:t>A pullout of fossil fuels can’t be achieved if we don’t think about our mobility needs. It will just replace one unsuitable solution for another. We need to reduce our overall consumption and use of fuels if we want to pursue a sustainable strategy</w:t>
      </w:r>
      <w:r w:rsidRPr="007101E2">
        <w:rPr>
          <w:lang w:val="en-GB"/>
        </w:rPr>
        <w:t xml:space="preserve">.”   </w:t>
      </w:r>
      <w:r w:rsidRPr="007101E2">
        <w:rPr>
          <w:lang w:val="de-AT"/>
        </w:rPr>
        <w:t>(</w:t>
      </w:r>
      <w:r w:rsidR="003D6F3B">
        <w:rPr>
          <w:lang w:val="de-AT"/>
        </w:rPr>
        <w:t>Putzer 2010</w:t>
      </w:r>
      <w:r w:rsidRPr="007101E2">
        <w:rPr>
          <w:lang w:val="de-AT"/>
        </w:rPr>
        <w:t>, p. 85/86)</w:t>
      </w:r>
    </w:p>
    <w:p w:rsidR="00AC067A" w:rsidRPr="004558EF" w:rsidRDefault="00A32658" w:rsidP="00A32658">
      <w:pPr>
        <w:pStyle w:val="berschrift1"/>
      </w:pPr>
      <w:bookmarkStart w:id="44" w:name="_Toc294469084"/>
      <w:r>
        <w:t>Index of Figures</w:t>
      </w:r>
      <w:bookmarkEnd w:id="44"/>
    </w:p>
    <w:p w:rsidR="001459D7" w:rsidRPr="001459D7" w:rsidRDefault="002A0101">
      <w:pPr>
        <w:pStyle w:val="Abbildungsverzeichnis"/>
        <w:tabs>
          <w:tab w:val="right" w:leader="dot" w:pos="9062"/>
        </w:tabs>
        <w:rPr>
          <w:rFonts w:asciiTheme="minorHAnsi" w:eastAsiaTheme="minorEastAsia" w:hAnsiTheme="minorHAnsi" w:cstheme="minorBidi"/>
          <w:noProof/>
          <w:lang w:val="de-AT" w:eastAsia="de-AT"/>
        </w:rPr>
      </w:pPr>
      <w:r w:rsidRPr="002A0101">
        <w:fldChar w:fldCharType="begin"/>
      </w:r>
      <w:r w:rsidR="00A32658" w:rsidRPr="001459D7">
        <w:instrText xml:space="preserve"> TOC \h \z \c "Figure" </w:instrText>
      </w:r>
      <w:r w:rsidRPr="002A0101">
        <w:fldChar w:fldCharType="separate"/>
      </w:r>
      <w:hyperlink w:anchor="_Toc294469003" w:history="1">
        <w:r w:rsidR="001459D7" w:rsidRPr="001459D7">
          <w:rPr>
            <w:rStyle w:val="Hyperlink"/>
            <w:noProof/>
          </w:rPr>
          <w:t xml:space="preserve">Figure 1: </w:t>
        </w:r>
        <w:r w:rsidR="001459D7" w:rsidRPr="001459D7">
          <w:rPr>
            <w:rStyle w:val="Hyperlink"/>
            <w:noProof/>
            <w:lang w:val="en-US"/>
          </w:rPr>
          <w:t xml:space="preserve"> FAO Food Price Index</w:t>
        </w:r>
        <w:r w:rsidR="001459D7" w:rsidRPr="001459D7">
          <w:rPr>
            <w:noProof/>
            <w:webHidden/>
          </w:rPr>
          <w:tab/>
        </w:r>
        <w:r w:rsidRPr="001459D7">
          <w:rPr>
            <w:noProof/>
            <w:webHidden/>
          </w:rPr>
          <w:fldChar w:fldCharType="begin"/>
        </w:r>
        <w:r w:rsidR="001459D7" w:rsidRPr="001459D7">
          <w:rPr>
            <w:noProof/>
            <w:webHidden/>
          </w:rPr>
          <w:instrText xml:space="preserve"> PAGEREF _Toc294469003 \h </w:instrText>
        </w:r>
        <w:r w:rsidRPr="001459D7">
          <w:rPr>
            <w:noProof/>
            <w:webHidden/>
          </w:rPr>
        </w:r>
        <w:r w:rsidRPr="001459D7">
          <w:rPr>
            <w:noProof/>
            <w:webHidden/>
          </w:rPr>
          <w:fldChar w:fldCharType="separate"/>
        </w:r>
        <w:r w:rsidR="001459D7" w:rsidRPr="001459D7">
          <w:rPr>
            <w:noProof/>
            <w:webHidden/>
          </w:rPr>
          <w:t>3</w:t>
        </w:r>
        <w:r w:rsidRPr="001459D7">
          <w:rPr>
            <w:noProof/>
            <w:webHidden/>
          </w:rPr>
          <w:fldChar w:fldCharType="end"/>
        </w:r>
      </w:hyperlink>
    </w:p>
    <w:p w:rsidR="001459D7" w:rsidRPr="001459D7" w:rsidRDefault="002A0101">
      <w:pPr>
        <w:pStyle w:val="Abbildungsverzeichnis"/>
        <w:tabs>
          <w:tab w:val="right" w:leader="dot" w:pos="9062"/>
        </w:tabs>
        <w:rPr>
          <w:rFonts w:asciiTheme="minorHAnsi" w:eastAsiaTheme="minorEastAsia" w:hAnsiTheme="minorHAnsi" w:cstheme="minorBidi"/>
          <w:noProof/>
          <w:lang w:val="de-AT" w:eastAsia="de-AT"/>
        </w:rPr>
      </w:pPr>
      <w:hyperlink w:anchor="_Toc294469004" w:history="1">
        <w:r w:rsidR="001459D7" w:rsidRPr="001459D7">
          <w:rPr>
            <w:rStyle w:val="Hyperlink"/>
            <w:noProof/>
          </w:rPr>
          <w:t>Figure 2: World biodiesel and ethanol production from 1975 to 2010</w:t>
        </w:r>
        <w:r w:rsidR="001459D7" w:rsidRPr="001459D7">
          <w:rPr>
            <w:noProof/>
            <w:webHidden/>
          </w:rPr>
          <w:tab/>
        </w:r>
        <w:r w:rsidRPr="001459D7">
          <w:rPr>
            <w:noProof/>
            <w:webHidden/>
          </w:rPr>
          <w:fldChar w:fldCharType="begin"/>
        </w:r>
        <w:r w:rsidR="001459D7" w:rsidRPr="001459D7">
          <w:rPr>
            <w:noProof/>
            <w:webHidden/>
          </w:rPr>
          <w:instrText xml:space="preserve"> PAGEREF _Toc294469004 \h </w:instrText>
        </w:r>
        <w:r w:rsidRPr="001459D7">
          <w:rPr>
            <w:noProof/>
            <w:webHidden/>
          </w:rPr>
        </w:r>
        <w:r w:rsidRPr="001459D7">
          <w:rPr>
            <w:noProof/>
            <w:webHidden/>
          </w:rPr>
          <w:fldChar w:fldCharType="separate"/>
        </w:r>
        <w:r w:rsidR="001459D7" w:rsidRPr="001459D7">
          <w:rPr>
            <w:noProof/>
            <w:webHidden/>
          </w:rPr>
          <w:t>5</w:t>
        </w:r>
        <w:r w:rsidRPr="001459D7">
          <w:rPr>
            <w:noProof/>
            <w:webHidden/>
          </w:rPr>
          <w:fldChar w:fldCharType="end"/>
        </w:r>
      </w:hyperlink>
    </w:p>
    <w:p w:rsidR="001459D7" w:rsidRPr="001459D7" w:rsidRDefault="002A0101">
      <w:pPr>
        <w:pStyle w:val="Abbildungsverzeichnis"/>
        <w:tabs>
          <w:tab w:val="right" w:leader="dot" w:pos="9062"/>
        </w:tabs>
        <w:rPr>
          <w:rFonts w:asciiTheme="minorHAnsi" w:eastAsiaTheme="minorEastAsia" w:hAnsiTheme="minorHAnsi" w:cstheme="minorBidi"/>
          <w:noProof/>
          <w:lang w:val="de-AT" w:eastAsia="de-AT"/>
        </w:rPr>
      </w:pPr>
      <w:hyperlink w:anchor="_Toc294469005" w:history="1">
        <w:r w:rsidR="001459D7" w:rsidRPr="001459D7">
          <w:rPr>
            <w:rStyle w:val="Hyperlink"/>
            <w:noProof/>
          </w:rPr>
          <w:t>Figure 3:  GHG mitigation and primary energy saving potentials of biofuels</w:t>
        </w:r>
        <w:r w:rsidR="001459D7" w:rsidRPr="001459D7">
          <w:rPr>
            <w:noProof/>
            <w:webHidden/>
          </w:rPr>
          <w:tab/>
        </w:r>
        <w:r w:rsidRPr="001459D7">
          <w:rPr>
            <w:noProof/>
            <w:webHidden/>
          </w:rPr>
          <w:fldChar w:fldCharType="begin"/>
        </w:r>
        <w:r w:rsidR="001459D7" w:rsidRPr="001459D7">
          <w:rPr>
            <w:noProof/>
            <w:webHidden/>
          </w:rPr>
          <w:instrText xml:space="preserve"> PAGEREF _Toc294469005 \h </w:instrText>
        </w:r>
        <w:r w:rsidRPr="001459D7">
          <w:rPr>
            <w:noProof/>
            <w:webHidden/>
          </w:rPr>
        </w:r>
        <w:r w:rsidRPr="001459D7">
          <w:rPr>
            <w:noProof/>
            <w:webHidden/>
          </w:rPr>
          <w:fldChar w:fldCharType="separate"/>
        </w:r>
        <w:r w:rsidR="001459D7" w:rsidRPr="001459D7">
          <w:rPr>
            <w:noProof/>
            <w:webHidden/>
          </w:rPr>
          <w:t>6</w:t>
        </w:r>
        <w:r w:rsidRPr="001459D7">
          <w:rPr>
            <w:noProof/>
            <w:webHidden/>
          </w:rPr>
          <w:fldChar w:fldCharType="end"/>
        </w:r>
      </w:hyperlink>
    </w:p>
    <w:p w:rsidR="001459D7" w:rsidRPr="001459D7" w:rsidRDefault="002A0101">
      <w:pPr>
        <w:pStyle w:val="Abbildungsverzeichnis"/>
        <w:tabs>
          <w:tab w:val="right" w:leader="dot" w:pos="9062"/>
        </w:tabs>
        <w:rPr>
          <w:rFonts w:asciiTheme="minorHAnsi" w:eastAsiaTheme="minorEastAsia" w:hAnsiTheme="minorHAnsi" w:cstheme="minorBidi"/>
          <w:noProof/>
          <w:lang w:val="de-AT" w:eastAsia="de-AT"/>
        </w:rPr>
      </w:pPr>
      <w:hyperlink w:anchor="_Toc294469006" w:history="1">
        <w:r w:rsidR="001459D7" w:rsidRPr="001459D7">
          <w:rPr>
            <w:rStyle w:val="Hyperlink"/>
            <w:noProof/>
          </w:rPr>
          <w:t>Figure 5: Comparison of well-to-wheel emission changes of different biofuels compared to fossil fuel</w:t>
        </w:r>
        <w:r w:rsidR="001459D7" w:rsidRPr="001459D7">
          <w:rPr>
            <w:noProof/>
            <w:webHidden/>
          </w:rPr>
          <w:tab/>
        </w:r>
        <w:r w:rsidRPr="001459D7">
          <w:rPr>
            <w:noProof/>
            <w:webHidden/>
          </w:rPr>
          <w:fldChar w:fldCharType="begin"/>
        </w:r>
        <w:r w:rsidR="001459D7" w:rsidRPr="001459D7">
          <w:rPr>
            <w:noProof/>
            <w:webHidden/>
          </w:rPr>
          <w:instrText xml:space="preserve"> PAGEREF _Toc294469006 \h </w:instrText>
        </w:r>
        <w:r w:rsidRPr="001459D7">
          <w:rPr>
            <w:noProof/>
            <w:webHidden/>
          </w:rPr>
        </w:r>
        <w:r w:rsidRPr="001459D7">
          <w:rPr>
            <w:noProof/>
            <w:webHidden/>
          </w:rPr>
          <w:fldChar w:fldCharType="separate"/>
        </w:r>
        <w:r w:rsidR="001459D7" w:rsidRPr="001459D7">
          <w:rPr>
            <w:noProof/>
            <w:webHidden/>
          </w:rPr>
          <w:t>10</w:t>
        </w:r>
        <w:r w:rsidRPr="001459D7">
          <w:rPr>
            <w:noProof/>
            <w:webHidden/>
          </w:rPr>
          <w:fldChar w:fldCharType="end"/>
        </w:r>
      </w:hyperlink>
    </w:p>
    <w:p w:rsidR="001459D7" w:rsidRPr="001459D7" w:rsidRDefault="002A0101">
      <w:pPr>
        <w:pStyle w:val="Abbildungsverzeichnis"/>
        <w:tabs>
          <w:tab w:val="right" w:leader="dot" w:pos="9062"/>
        </w:tabs>
        <w:rPr>
          <w:rFonts w:asciiTheme="minorHAnsi" w:eastAsiaTheme="minorEastAsia" w:hAnsiTheme="minorHAnsi" w:cstheme="minorBidi"/>
          <w:noProof/>
          <w:lang w:val="de-AT" w:eastAsia="de-AT"/>
        </w:rPr>
      </w:pPr>
      <w:hyperlink w:anchor="_Toc294469007" w:history="1">
        <w:r w:rsidR="001459D7" w:rsidRPr="001459D7">
          <w:rPr>
            <w:rStyle w:val="Hyperlink"/>
            <w:noProof/>
          </w:rPr>
          <w:t>Figure 6: Global land suitability for second-generation feedstocks (herbaceous and woody lignocellulosic plant species)</w:t>
        </w:r>
        <w:r w:rsidR="001459D7" w:rsidRPr="001459D7">
          <w:rPr>
            <w:noProof/>
            <w:webHidden/>
          </w:rPr>
          <w:tab/>
        </w:r>
        <w:r w:rsidRPr="001459D7">
          <w:rPr>
            <w:noProof/>
            <w:webHidden/>
          </w:rPr>
          <w:fldChar w:fldCharType="begin"/>
        </w:r>
        <w:r w:rsidR="001459D7" w:rsidRPr="001459D7">
          <w:rPr>
            <w:noProof/>
            <w:webHidden/>
          </w:rPr>
          <w:instrText xml:space="preserve"> PAGEREF _Toc294469007 \h </w:instrText>
        </w:r>
        <w:r w:rsidRPr="001459D7">
          <w:rPr>
            <w:noProof/>
            <w:webHidden/>
          </w:rPr>
        </w:r>
        <w:r w:rsidRPr="001459D7">
          <w:rPr>
            <w:noProof/>
            <w:webHidden/>
          </w:rPr>
          <w:fldChar w:fldCharType="separate"/>
        </w:r>
        <w:r w:rsidR="001459D7" w:rsidRPr="001459D7">
          <w:rPr>
            <w:noProof/>
            <w:webHidden/>
          </w:rPr>
          <w:t>10</w:t>
        </w:r>
        <w:r w:rsidRPr="001459D7">
          <w:rPr>
            <w:noProof/>
            <w:webHidden/>
          </w:rPr>
          <w:fldChar w:fldCharType="end"/>
        </w:r>
      </w:hyperlink>
    </w:p>
    <w:p w:rsidR="001459D7" w:rsidRPr="001459D7" w:rsidRDefault="002A0101">
      <w:pPr>
        <w:pStyle w:val="Abbildungsverzeichnis"/>
        <w:tabs>
          <w:tab w:val="right" w:leader="dot" w:pos="9062"/>
        </w:tabs>
        <w:rPr>
          <w:rFonts w:asciiTheme="minorHAnsi" w:eastAsiaTheme="minorEastAsia" w:hAnsiTheme="minorHAnsi" w:cstheme="minorBidi"/>
          <w:noProof/>
          <w:lang w:val="de-AT" w:eastAsia="de-AT"/>
        </w:rPr>
      </w:pPr>
      <w:hyperlink w:anchor="_Toc294469008" w:history="1">
        <w:r w:rsidR="001459D7" w:rsidRPr="001459D7">
          <w:rPr>
            <w:rStyle w:val="Hyperlink"/>
            <w:noProof/>
          </w:rPr>
          <w:t>Figure 7: Biodiesel production in Austria 2003-2009 in tonnes</w:t>
        </w:r>
        <w:r w:rsidR="001459D7" w:rsidRPr="001459D7">
          <w:rPr>
            <w:noProof/>
            <w:webHidden/>
          </w:rPr>
          <w:tab/>
        </w:r>
        <w:r w:rsidRPr="001459D7">
          <w:rPr>
            <w:noProof/>
            <w:webHidden/>
          </w:rPr>
          <w:fldChar w:fldCharType="begin"/>
        </w:r>
        <w:r w:rsidR="001459D7" w:rsidRPr="001459D7">
          <w:rPr>
            <w:noProof/>
            <w:webHidden/>
          </w:rPr>
          <w:instrText xml:space="preserve"> PAGEREF _Toc294469008 \h </w:instrText>
        </w:r>
        <w:r w:rsidRPr="001459D7">
          <w:rPr>
            <w:noProof/>
            <w:webHidden/>
          </w:rPr>
        </w:r>
        <w:r w:rsidRPr="001459D7">
          <w:rPr>
            <w:noProof/>
            <w:webHidden/>
          </w:rPr>
          <w:fldChar w:fldCharType="separate"/>
        </w:r>
        <w:r w:rsidR="001459D7" w:rsidRPr="001459D7">
          <w:rPr>
            <w:noProof/>
            <w:webHidden/>
          </w:rPr>
          <w:t>15</w:t>
        </w:r>
        <w:r w:rsidRPr="001459D7">
          <w:rPr>
            <w:noProof/>
            <w:webHidden/>
          </w:rPr>
          <w:fldChar w:fldCharType="end"/>
        </w:r>
      </w:hyperlink>
    </w:p>
    <w:p w:rsidR="001459D7" w:rsidRPr="001459D7" w:rsidRDefault="002A0101">
      <w:pPr>
        <w:pStyle w:val="Abbildungsverzeichnis"/>
        <w:tabs>
          <w:tab w:val="right" w:leader="dot" w:pos="9062"/>
        </w:tabs>
        <w:rPr>
          <w:rFonts w:asciiTheme="minorHAnsi" w:eastAsiaTheme="minorEastAsia" w:hAnsiTheme="minorHAnsi" w:cstheme="minorBidi"/>
          <w:noProof/>
          <w:lang w:val="de-AT" w:eastAsia="de-AT"/>
        </w:rPr>
      </w:pPr>
      <w:hyperlink w:anchor="_Toc294469009" w:history="1">
        <w:r w:rsidR="001459D7" w:rsidRPr="001459D7">
          <w:rPr>
            <w:rStyle w:val="Hyperlink"/>
            <w:noProof/>
          </w:rPr>
          <w:t>Figure 8: Prices of  bread roll, bread and wheat flour in Austria 2003-2009</w:t>
        </w:r>
        <w:r w:rsidR="001459D7" w:rsidRPr="001459D7">
          <w:rPr>
            <w:noProof/>
            <w:webHidden/>
          </w:rPr>
          <w:tab/>
        </w:r>
        <w:r w:rsidRPr="001459D7">
          <w:rPr>
            <w:noProof/>
            <w:webHidden/>
          </w:rPr>
          <w:fldChar w:fldCharType="begin"/>
        </w:r>
        <w:r w:rsidR="001459D7" w:rsidRPr="001459D7">
          <w:rPr>
            <w:noProof/>
            <w:webHidden/>
          </w:rPr>
          <w:instrText xml:space="preserve"> PAGEREF _Toc294469009 \h </w:instrText>
        </w:r>
        <w:r w:rsidRPr="001459D7">
          <w:rPr>
            <w:noProof/>
            <w:webHidden/>
          </w:rPr>
        </w:r>
        <w:r w:rsidRPr="001459D7">
          <w:rPr>
            <w:noProof/>
            <w:webHidden/>
          </w:rPr>
          <w:fldChar w:fldCharType="separate"/>
        </w:r>
        <w:r w:rsidR="001459D7" w:rsidRPr="001459D7">
          <w:rPr>
            <w:noProof/>
            <w:webHidden/>
          </w:rPr>
          <w:t>15</w:t>
        </w:r>
        <w:r w:rsidRPr="001459D7">
          <w:rPr>
            <w:noProof/>
            <w:webHidden/>
          </w:rPr>
          <w:fldChar w:fldCharType="end"/>
        </w:r>
      </w:hyperlink>
    </w:p>
    <w:p w:rsidR="001459D7" w:rsidRPr="001459D7" w:rsidRDefault="002A0101">
      <w:pPr>
        <w:pStyle w:val="Abbildungsverzeichnis"/>
        <w:tabs>
          <w:tab w:val="right" w:leader="dot" w:pos="9062"/>
        </w:tabs>
        <w:rPr>
          <w:rFonts w:asciiTheme="minorHAnsi" w:eastAsiaTheme="minorEastAsia" w:hAnsiTheme="minorHAnsi" w:cstheme="minorBidi"/>
          <w:noProof/>
          <w:lang w:val="de-AT" w:eastAsia="de-AT"/>
        </w:rPr>
      </w:pPr>
      <w:hyperlink w:anchor="_Toc294469010" w:history="1">
        <w:r w:rsidR="001459D7" w:rsidRPr="001459D7">
          <w:rPr>
            <w:rStyle w:val="Hyperlink"/>
            <w:noProof/>
          </w:rPr>
          <w:t>Figure 9:</w:t>
        </w:r>
        <w:r w:rsidR="001459D7" w:rsidRPr="001459D7">
          <w:rPr>
            <w:rStyle w:val="Hyperlink"/>
            <w:noProof/>
            <w:lang w:val="en-US"/>
          </w:rPr>
          <w:t xml:space="preserve"> Sewing areas of rape and sugar beet in the Czech Republic in ha</w:t>
        </w:r>
        <w:r w:rsidR="001459D7" w:rsidRPr="001459D7">
          <w:rPr>
            <w:noProof/>
            <w:webHidden/>
          </w:rPr>
          <w:tab/>
        </w:r>
        <w:r w:rsidRPr="001459D7">
          <w:rPr>
            <w:noProof/>
            <w:webHidden/>
          </w:rPr>
          <w:fldChar w:fldCharType="begin"/>
        </w:r>
        <w:r w:rsidR="001459D7" w:rsidRPr="001459D7">
          <w:rPr>
            <w:noProof/>
            <w:webHidden/>
          </w:rPr>
          <w:instrText xml:space="preserve"> PAGEREF _Toc294469010 \h </w:instrText>
        </w:r>
        <w:r w:rsidRPr="001459D7">
          <w:rPr>
            <w:noProof/>
            <w:webHidden/>
          </w:rPr>
        </w:r>
        <w:r w:rsidRPr="001459D7">
          <w:rPr>
            <w:noProof/>
            <w:webHidden/>
          </w:rPr>
          <w:fldChar w:fldCharType="separate"/>
        </w:r>
        <w:r w:rsidR="001459D7" w:rsidRPr="001459D7">
          <w:rPr>
            <w:noProof/>
            <w:webHidden/>
          </w:rPr>
          <w:t>18</w:t>
        </w:r>
        <w:r w:rsidRPr="001459D7">
          <w:rPr>
            <w:noProof/>
            <w:webHidden/>
          </w:rPr>
          <w:fldChar w:fldCharType="end"/>
        </w:r>
      </w:hyperlink>
    </w:p>
    <w:p w:rsidR="001459D7" w:rsidRPr="001459D7" w:rsidRDefault="002A0101">
      <w:pPr>
        <w:pStyle w:val="Abbildungsverzeichnis"/>
        <w:tabs>
          <w:tab w:val="right" w:leader="dot" w:pos="9062"/>
        </w:tabs>
        <w:rPr>
          <w:rFonts w:asciiTheme="minorHAnsi" w:eastAsiaTheme="minorEastAsia" w:hAnsiTheme="minorHAnsi" w:cstheme="minorBidi"/>
          <w:noProof/>
          <w:lang w:val="de-AT" w:eastAsia="de-AT"/>
        </w:rPr>
      </w:pPr>
      <w:hyperlink w:anchor="_Toc294469011" w:history="1">
        <w:r w:rsidR="001459D7" w:rsidRPr="001459D7">
          <w:rPr>
            <w:rStyle w:val="Hyperlink"/>
            <w:noProof/>
          </w:rPr>
          <w:t xml:space="preserve">Figure 10: </w:t>
        </w:r>
        <w:r w:rsidR="001459D7" w:rsidRPr="001459D7">
          <w:rPr>
            <w:rStyle w:val="Hyperlink"/>
            <w:noProof/>
            <w:lang w:val="en-US"/>
          </w:rPr>
          <w:t>Yield per hectare for rape and sugar beet in the Czech Republic in t</w:t>
        </w:r>
        <w:r w:rsidR="001459D7" w:rsidRPr="001459D7">
          <w:rPr>
            <w:noProof/>
            <w:webHidden/>
          </w:rPr>
          <w:tab/>
        </w:r>
        <w:r w:rsidRPr="001459D7">
          <w:rPr>
            <w:noProof/>
            <w:webHidden/>
          </w:rPr>
          <w:fldChar w:fldCharType="begin"/>
        </w:r>
        <w:r w:rsidR="001459D7" w:rsidRPr="001459D7">
          <w:rPr>
            <w:noProof/>
            <w:webHidden/>
          </w:rPr>
          <w:instrText xml:space="preserve"> PAGEREF _Toc294469011 \h </w:instrText>
        </w:r>
        <w:r w:rsidRPr="001459D7">
          <w:rPr>
            <w:noProof/>
            <w:webHidden/>
          </w:rPr>
        </w:r>
        <w:r w:rsidRPr="001459D7">
          <w:rPr>
            <w:noProof/>
            <w:webHidden/>
          </w:rPr>
          <w:fldChar w:fldCharType="separate"/>
        </w:r>
        <w:r w:rsidR="001459D7" w:rsidRPr="001459D7">
          <w:rPr>
            <w:noProof/>
            <w:webHidden/>
          </w:rPr>
          <w:t>18</w:t>
        </w:r>
        <w:r w:rsidRPr="001459D7">
          <w:rPr>
            <w:noProof/>
            <w:webHidden/>
          </w:rPr>
          <w:fldChar w:fldCharType="end"/>
        </w:r>
      </w:hyperlink>
    </w:p>
    <w:p w:rsidR="001459D7" w:rsidRPr="001459D7" w:rsidRDefault="002A0101">
      <w:pPr>
        <w:pStyle w:val="Abbildungsverzeichnis"/>
        <w:tabs>
          <w:tab w:val="right" w:leader="dot" w:pos="9062"/>
        </w:tabs>
        <w:rPr>
          <w:rFonts w:asciiTheme="minorHAnsi" w:eastAsiaTheme="minorEastAsia" w:hAnsiTheme="minorHAnsi" w:cstheme="minorBidi"/>
          <w:noProof/>
          <w:lang w:val="de-AT" w:eastAsia="de-AT"/>
        </w:rPr>
      </w:pPr>
      <w:hyperlink w:anchor="_Toc294469012" w:history="1">
        <w:r w:rsidR="001459D7" w:rsidRPr="001459D7">
          <w:rPr>
            <w:rStyle w:val="Hyperlink"/>
            <w:noProof/>
          </w:rPr>
          <w:t>Figure 11:</w:t>
        </w:r>
        <w:r w:rsidR="001459D7" w:rsidRPr="001459D7">
          <w:rPr>
            <w:rStyle w:val="Hyperlink"/>
            <w:noProof/>
            <w:lang w:val="en-US"/>
          </w:rPr>
          <w:t xml:space="preserve"> Players on the biofuels market in the Czech Republic</w:t>
        </w:r>
        <w:r w:rsidR="001459D7" w:rsidRPr="001459D7">
          <w:rPr>
            <w:noProof/>
            <w:webHidden/>
          </w:rPr>
          <w:tab/>
        </w:r>
        <w:r w:rsidRPr="001459D7">
          <w:rPr>
            <w:noProof/>
            <w:webHidden/>
          </w:rPr>
          <w:fldChar w:fldCharType="begin"/>
        </w:r>
        <w:r w:rsidR="001459D7" w:rsidRPr="001459D7">
          <w:rPr>
            <w:noProof/>
            <w:webHidden/>
          </w:rPr>
          <w:instrText xml:space="preserve"> PAGEREF _Toc294469012 \h </w:instrText>
        </w:r>
        <w:r w:rsidRPr="001459D7">
          <w:rPr>
            <w:noProof/>
            <w:webHidden/>
          </w:rPr>
        </w:r>
        <w:r w:rsidRPr="001459D7">
          <w:rPr>
            <w:noProof/>
            <w:webHidden/>
          </w:rPr>
          <w:fldChar w:fldCharType="separate"/>
        </w:r>
        <w:r w:rsidR="001459D7" w:rsidRPr="001459D7">
          <w:rPr>
            <w:noProof/>
            <w:webHidden/>
          </w:rPr>
          <w:t>19</w:t>
        </w:r>
        <w:r w:rsidRPr="001459D7">
          <w:rPr>
            <w:noProof/>
            <w:webHidden/>
          </w:rPr>
          <w:fldChar w:fldCharType="end"/>
        </w:r>
      </w:hyperlink>
    </w:p>
    <w:p w:rsidR="001459D7" w:rsidRPr="001459D7" w:rsidRDefault="002A0101">
      <w:pPr>
        <w:pStyle w:val="Abbildungsverzeichnis"/>
        <w:tabs>
          <w:tab w:val="right" w:leader="dot" w:pos="9062"/>
        </w:tabs>
        <w:rPr>
          <w:rFonts w:asciiTheme="minorHAnsi" w:eastAsiaTheme="minorEastAsia" w:hAnsiTheme="minorHAnsi" w:cstheme="minorBidi"/>
          <w:noProof/>
          <w:lang w:val="de-AT" w:eastAsia="de-AT"/>
        </w:rPr>
      </w:pPr>
      <w:hyperlink w:anchor="_Toc294469013" w:history="1">
        <w:r w:rsidR="001459D7" w:rsidRPr="001459D7">
          <w:rPr>
            <w:rStyle w:val="Hyperlink"/>
            <w:noProof/>
          </w:rPr>
          <w:t>Figure 12:</w:t>
        </w:r>
        <w:r w:rsidR="001459D7" w:rsidRPr="001459D7">
          <w:rPr>
            <w:rStyle w:val="Hyperlink"/>
            <w:noProof/>
            <w:lang w:val="en-US"/>
          </w:rPr>
          <w:t xml:space="preserve"> CZ FAME home production, gross consumption, import and export in t, annual</w:t>
        </w:r>
        <w:r w:rsidR="001459D7" w:rsidRPr="001459D7">
          <w:rPr>
            <w:noProof/>
            <w:webHidden/>
          </w:rPr>
          <w:tab/>
        </w:r>
        <w:r w:rsidRPr="001459D7">
          <w:rPr>
            <w:noProof/>
            <w:webHidden/>
          </w:rPr>
          <w:fldChar w:fldCharType="begin"/>
        </w:r>
        <w:r w:rsidR="001459D7" w:rsidRPr="001459D7">
          <w:rPr>
            <w:noProof/>
            <w:webHidden/>
          </w:rPr>
          <w:instrText xml:space="preserve"> PAGEREF _Toc294469013 \h </w:instrText>
        </w:r>
        <w:r w:rsidRPr="001459D7">
          <w:rPr>
            <w:noProof/>
            <w:webHidden/>
          </w:rPr>
        </w:r>
        <w:r w:rsidRPr="001459D7">
          <w:rPr>
            <w:noProof/>
            <w:webHidden/>
          </w:rPr>
          <w:fldChar w:fldCharType="separate"/>
        </w:r>
        <w:r w:rsidR="001459D7" w:rsidRPr="001459D7">
          <w:rPr>
            <w:noProof/>
            <w:webHidden/>
          </w:rPr>
          <w:t>20</w:t>
        </w:r>
        <w:r w:rsidRPr="001459D7">
          <w:rPr>
            <w:noProof/>
            <w:webHidden/>
          </w:rPr>
          <w:fldChar w:fldCharType="end"/>
        </w:r>
      </w:hyperlink>
    </w:p>
    <w:p w:rsidR="001459D7" w:rsidRPr="001459D7" w:rsidRDefault="002A0101">
      <w:pPr>
        <w:pStyle w:val="Abbildungsverzeichnis"/>
        <w:tabs>
          <w:tab w:val="right" w:leader="dot" w:pos="9062"/>
        </w:tabs>
        <w:rPr>
          <w:rFonts w:asciiTheme="minorHAnsi" w:eastAsiaTheme="minorEastAsia" w:hAnsiTheme="minorHAnsi" w:cstheme="minorBidi"/>
          <w:noProof/>
          <w:lang w:val="de-AT" w:eastAsia="de-AT"/>
        </w:rPr>
      </w:pPr>
      <w:hyperlink w:anchor="_Toc294469014" w:history="1">
        <w:r w:rsidR="001459D7" w:rsidRPr="001459D7">
          <w:rPr>
            <w:rStyle w:val="Hyperlink"/>
            <w:noProof/>
          </w:rPr>
          <w:t>Figure 13:</w:t>
        </w:r>
        <w:r w:rsidR="001459D7" w:rsidRPr="001459D7">
          <w:rPr>
            <w:rStyle w:val="Hyperlink"/>
            <w:noProof/>
            <w:lang w:val="en-US"/>
          </w:rPr>
          <w:t xml:space="preserve"> CZ bioethanol home production, gross consumption, import and export in t, annual</w:t>
        </w:r>
        <w:r w:rsidR="001459D7" w:rsidRPr="001459D7">
          <w:rPr>
            <w:noProof/>
            <w:webHidden/>
          </w:rPr>
          <w:tab/>
        </w:r>
        <w:r w:rsidRPr="001459D7">
          <w:rPr>
            <w:noProof/>
            <w:webHidden/>
          </w:rPr>
          <w:fldChar w:fldCharType="begin"/>
        </w:r>
        <w:r w:rsidR="001459D7" w:rsidRPr="001459D7">
          <w:rPr>
            <w:noProof/>
            <w:webHidden/>
          </w:rPr>
          <w:instrText xml:space="preserve"> PAGEREF _Toc294469014 \h </w:instrText>
        </w:r>
        <w:r w:rsidRPr="001459D7">
          <w:rPr>
            <w:noProof/>
            <w:webHidden/>
          </w:rPr>
        </w:r>
        <w:r w:rsidRPr="001459D7">
          <w:rPr>
            <w:noProof/>
            <w:webHidden/>
          </w:rPr>
          <w:fldChar w:fldCharType="separate"/>
        </w:r>
        <w:r w:rsidR="001459D7" w:rsidRPr="001459D7">
          <w:rPr>
            <w:noProof/>
            <w:webHidden/>
          </w:rPr>
          <w:t>20</w:t>
        </w:r>
        <w:r w:rsidRPr="001459D7">
          <w:rPr>
            <w:noProof/>
            <w:webHidden/>
          </w:rPr>
          <w:fldChar w:fldCharType="end"/>
        </w:r>
      </w:hyperlink>
    </w:p>
    <w:p w:rsidR="001459D7" w:rsidRPr="001459D7" w:rsidRDefault="002A0101">
      <w:pPr>
        <w:pStyle w:val="Abbildungsverzeichnis"/>
        <w:tabs>
          <w:tab w:val="right" w:leader="dot" w:pos="9062"/>
        </w:tabs>
        <w:rPr>
          <w:rFonts w:asciiTheme="minorHAnsi" w:eastAsiaTheme="minorEastAsia" w:hAnsiTheme="minorHAnsi" w:cstheme="minorBidi"/>
          <w:noProof/>
          <w:lang w:val="de-AT" w:eastAsia="de-AT"/>
        </w:rPr>
      </w:pPr>
      <w:hyperlink w:anchor="_Toc294469015" w:history="1">
        <w:r w:rsidR="001459D7" w:rsidRPr="001459D7">
          <w:rPr>
            <w:rStyle w:val="Hyperlink"/>
            <w:noProof/>
          </w:rPr>
          <w:t>Figure 14:</w:t>
        </w:r>
        <w:r w:rsidR="001459D7" w:rsidRPr="001459D7">
          <w:rPr>
            <w:rStyle w:val="Hyperlink"/>
            <w:noProof/>
            <w:lang w:val="en-US"/>
          </w:rPr>
          <w:t xml:space="preserve"> CZ FAME home production and gross consumption in t monthly</w:t>
        </w:r>
        <w:r w:rsidR="001459D7" w:rsidRPr="001459D7">
          <w:rPr>
            <w:noProof/>
            <w:webHidden/>
          </w:rPr>
          <w:tab/>
        </w:r>
        <w:r w:rsidRPr="001459D7">
          <w:rPr>
            <w:noProof/>
            <w:webHidden/>
          </w:rPr>
          <w:fldChar w:fldCharType="begin"/>
        </w:r>
        <w:r w:rsidR="001459D7" w:rsidRPr="001459D7">
          <w:rPr>
            <w:noProof/>
            <w:webHidden/>
          </w:rPr>
          <w:instrText xml:space="preserve"> PAGEREF _Toc294469015 \h </w:instrText>
        </w:r>
        <w:r w:rsidRPr="001459D7">
          <w:rPr>
            <w:noProof/>
            <w:webHidden/>
          </w:rPr>
        </w:r>
        <w:r w:rsidRPr="001459D7">
          <w:rPr>
            <w:noProof/>
            <w:webHidden/>
          </w:rPr>
          <w:fldChar w:fldCharType="separate"/>
        </w:r>
        <w:r w:rsidR="001459D7" w:rsidRPr="001459D7">
          <w:rPr>
            <w:noProof/>
            <w:webHidden/>
          </w:rPr>
          <w:t>20</w:t>
        </w:r>
        <w:r w:rsidRPr="001459D7">
          <w:rPr>
            <w:noProof/>
            <w:webHidden/>
          </w:rPr>
          <w:fldChar w:fldCharType="end"/>
        </w:r>
      </w:hyperlink>
    </w:p>
    <w:p w:rsidR="001459D7" w:rsidRPr="001459D7" w:rsidRDefault="002A0101">
      <w:pPr>
        <w:pStyle w:val="Abbildungsverzeichnis"/>
        <w:tabs>
          <w:tab w:val="right" w:leader="dot" w:pos="9062"/>
        </w:tabs>
        <w:rPr>
          <w:rFonts w:asciiTheme="minorHAnsi" w:eastAsiaTheme="minorEastAsia" w:hAnsiTheme="minorHAnsi" w:cstheme="minorBidi"/>
          <w:noProof/>
          <w:lang w:val="de-AT" w:eastAsia="de-AT"/>
        </w:rPr>
      </w:pPr>
      <w:hyperlink w:anchor="_Toc294469016" w:history="1">
        <w:r w:rsidR="001459D7" w:rsidRPr="001459D7">
          <w:rPr>
            <w:rStyle w:val="Hyperlink"/>
            <w:noProof/>
          </w:rPr>
          <w:t>Figure 15:</w:t>
        </w:r>
        <w:r w:rsidR="001459D7" w:rsidRPr="001459D7">
          <w:rPr>
            <w:rStyle w:val="Hyperlink"/>
            <w:noProof/>
            <w:lang w:val="en-US"/>
          </w:rPr>
          <w:t xml:space="preserve"> CZ bioethanol home production and gross consumption in t monthly</w:t>
        </w:r>
        <w:r w:rsidR="001459D7" w:rsidRPr="001459D7">
          <w:rPr>
            <w:noProof/>
            <w:webHidden/>
          </w:rPr>
          <w:tab/>
        </w:r>
        <w:r w:rsidRPr="001459D7">
          <w:rPr>
            <w:noProof/>
            <w:webHidden/>
          </w:rPr>
          <w:fldChar w:fldCharType="begin"/>
        </w:r>
        <w:r w:rsidR="001459D7" w:rsidRPr="001459D7">
          <w:rPr>
            <w:noProof/>
            <w:webHidden/>
          </w:rPr>
          <w:instrText xml:space="preserve"> PAGEREF _Toc294469016 \h </w:instrText>
        </w:r>
        <w:r w:rsidRPr="001459D7">
          <w:rPr>
            <w:noProof/>
            <w:webHidden/>
          </w:rPr>
        </w:r>
        <w:r w:rsidRPr="001459D7">
          <w:rPr>
            <w:noProof/>
            <w:webHidden/>
          </w:rPr>
          <w:fldChar w:fldCharType="separate"/>
        </w:r>
        <w:r w:rsidR="001459D7" w:rsidRPr="001459D7">
          <w:rPr>
            <w:noProof/>
            <w:webHidden/>
          </w:rPr>
          <w:t>21</w:t>
        </w:r>
        <w:r w:rsidRPr="001459D7">
          <w:rPr>
            <w:noProof/>
            <w:webHidden/>
          </w:rPr>
          <w:fldChar w:fldCharType="end"/>
        </w:r>
      </w:hyperlink>
    </w:p>
    <w:p w:rsidR="001459D7" w:rsidRPr="001459D7" w:rsidRDefault="002A0101">
      <w:pPr>
        <w:pStyle w:val="Abbildungsverzeichnis"/>
        <w:tabs>
          <w:tab w:val="right" w:leader="dot" w:pos="9062"/>
        </w:tabs>
        <w:rPr>
          <w:rFonts w:asciiTheme="minorHAnsi" w:eastAsiaTheme="minorEastAsia" w:hAnsiTheme="minorHAnsi" w:cstheme="minorBidi"/>
          <w:noProof/>
          <w:lang w:val="de-AT" w:eastAsia="de-AT"/>
        </w:rPr>
      </w:pPr>
      <w:hyperlink w:anchor="_Toc294469017" w:history="1">
        <w:r w:rsidR="001459D7" w:rsidRPr="001459D7">
          <w:rPr>
            <w:rStyle w:val="Hyperlink"/>
            <w:noProof/>
          </w:rPr>
          <w:t>Figure 16: Price of bread in CZK/kg</w:t>
        </w:r>
        <w:r w:rsidR="001459D7" w:rsidRPr="001459D7">
          <w:rPr>
            <w:noProof/>
            <w:webHidden/>
          </w:rPr>
          <w:tab/>
        </w:r>
        <w:r w:rsidRPr="001459D7">
          <w:rPr>
            <w:noProof/>
            <w:webHidden/>
          </w:rPr>
          <w:fldChar w:fldCharType="begin"/>
        </w:r>
        <w:r w:rsidR="001459D7" w:rsidRPr="001459D7">
          <w:rPr>
            <w:noProof/>
            <w:webHidden/>
          </w:rPr>
          <w:instrText xml:space="preserve"> PAGEREF _Toc294469017 \h </w:instrText>
        </w:r>
        <w:r w:rsidRPr="001459D7">
          <w:rPr>
            <w:noProof/>
            <w:webHidden/>
          </w:rPr>
        </w:r>
        <w:r w:rsidRPr="001459D7">
          <w:rPr>
            <w:noProof/>
            <w:webHidden/>
          </w:rPr>
          <w:fldChar w:fldCharType="separate"/>
        </w:r>
        <w:r w:rsidR="001459D7" w:rsidRPr="001459D7">
          <w:rPr>
            <w:noProof/>
            <w:webHidden/>
          </w:rPr>
          <w:t>21</w:t>
        </w:r>
        <w:r w:rsidRPr="001459D7">
          <w:rPr>
            <w:noProof/>
            <w:webHidden/>
          </w:rPr>
          <w:fldChar w:fldCharType="end"/>
        </w:r>
      </w:hyperlink>
    </w:p>
    <w:p w:rsidR="00D85944" w:rsidRPr="00D85944" w:rsidRDefault="002A0101" w:rsidP="00D85944">
      <w:pPr>
        <w:pStyle w:val="berschrift1"/>
        <w:numPr>
          <w:ilvl w:val="0"/>
          <w:numId w:val="0"/>
        </w:numPr>
        <w:ind w:left="720"/>
      </w:pPr>
      <w:r w:rsidRPr="001459D7">
        <w:rPr>
          <w:b w:val="0"/>
        </w:rPr>
        <w:fldChar w:fldCharType="end"/>
      </w:r>
    </w:p>
    <w:p w:rsidR="001459D7" w:rsidRDefault="001459D7" w:rsidP="001459D7">
      <w:pPr>
        <w:pStyle w:val="berschrift1"/>
        <w:numPr>
          <w:ilvl w:val="0"/>
          <w:numId w:val="0"/>
        </w:numPr>
        <w:ind w:left="720" w:hanging="360"/>
      </w:pPr>
    </w:p>
    <w:p w:rsidR="00A32658" w:rsidRDefault="00A32658" w:rsidP="00A32658">
      <w:pPr>
        <w:pStyle w:val="berschrift1"/>
      </w:pPr>
      <w:bookmarkStart w:id="45" w:name="_Toc294469085"/>
      <w:r w:rsidRPr="00A32658">
        <w:lastRenderedPageBreak/>
        <w:t>Index of Tables</w:t>
      </w:r>
      <w:bookmarkEnd w:id="45"/>
    </w:p>
    <w:p w:rsidR="001459D7" w:rsidRDefault="002A0101">
      <w:pPr>
        <w:pStyle w:val="Abbildungsverzeichnis"/>
        <w:tabs>
          <w:tab w:val="right" w:leader="dot" w:pos="9062"/>
        </w:tabs>
        <w:rPr>
          <w:rFonts w:asciiTheme="minorHAnsi" w:eastAsiaTheme="minorEastAsia" w:hAnsiTheme="minorHAnsi" w:cstheme="minorBidi"/>
          <w:noProof/>
          <w:lang w:val="de-AT" w:eastAsia="de-AT"/>
        </w:rPr>
      </w:pPr>
      <w:r>
        <w:rPr>
          <w:lang w:val="de-AT" w:bidi="en-US"/>
        </w:rPr>
        <w:fldChar w:fldCharType="begin"/>
      </w:r>
      <w:r w:rsidR="00EA4BA0">
        <w:rPr>
          <w:lang w:val="de-AT" w:bidi="en-US"/>
        </w:rPr>
        <w:instrText xml:space="preserve"> TOC \h \z \c "Table" </w:instrText>
      </w:r>
      <w:r>
        <w:rPr>
          <w:lang w:val="de-AT" w:bidi="en-US"/>
        </w:rPr>
        <w:fldChar w:fldCharType="separate"/>
      </w:r>
      <w:hyperlink w:anchor="_Toc294468952" w:history="1">
        <w:r w:rsidR="001459D7" w:rsidRPr="00AE5408">
          <w:rPr>
            <w:rStyle w:val="Hyperlink"/>
            <w:noProof/>
          </w:rPr>
          <w:t>Table 1: Expected GHG saving potentials of different feedstocks (well-to-wheel)</w:t>
        </w:r>
        <w:r w:rsidR="001459D7">
          <w:rPr>
            <w:noProof/>
            <w:webHidden/>
          </w:rPr>
          <w:tab/>
        </w:r>
        <w:r>
          <w:rPr>
            <w:noProof/>
            <w:webHidden/>
          </w:rPr>
          <w:fldChar w:fldCharType="begin"/>
        </w:r>
        <w:r w:rsidR="001459D7">
          <w:rPr>
            <w:noProof/>
            <w:webHidden/>
          </w:rPr>
          <w:instrText xml:space="preserve"> PAGEREF _Toc294468952 \h </w:instrText>
        </w:r>
        <w:r>
          <w:rPr>
            <w:noProof/>
            <w:webHidden/>
          </w:rPr>
        </w:r>
        <w:r>
          <w:rPr>
            <w:noProof/>
            <w:webHidden/>
          </w:rPr>
          <w:fldChar w:fldCharType="separate"/>
        </w:r>
        <w:r w:rsidR="001459D7">
          <w:rPr>
            <w:noProof/>
            <w:webHidden/>
          </w:rPr>
          <w:t>9</w:t>
        </w:r>
        <w:r>
          <w:rPr>
            <w:noProof/>
            <w:webHidden/>
          </w:rPr>
          <w:fldChar w:fldCharType="end"/>
        </w:r>
      </w:hyperlink>
    </w:p>
    <w:p w:rsidR="001459D7" w:rsidRDefault="002A0101">
      <w:pPr>
        <w:pStyle w:val="Abbildungsverzeichnis"/>
        <w:tabs>
          <w:tab w:val="right" w:leader="dot" w:pos="9062"/>
        </w:tabs>
        <w:rPr>
          <w:rFonts w:asciiTheme="minorHAnsi" w:eastAsiaTheme="minorEastAsia" w:hAnsiTheme="minorHAnsi" w:cstheme="minorBidi"/>
          <w:noProof/>
          <w:lang w:val="de-AT" w:eastAsia="de-AT"/>
        </w:rPr>
      </w:pPr>
      <w:hyperlink w:anchor="_Toc294468953" w:history="1">
        <w:r w:rsidR="001459D7" w:rsidRPr="00AE5408">
          <w:rPr>
            <w:rStyle w:val="Hyperlink"/>
            <w:noProof/>
          </w:rPr>
          <w:t>Table 2:</w:t>
        </w:r>
        <w:r w:rsidR="001459D7" w:rsidRPr="00AE5408">
          <w:rPr>
            <w:rStyle w:val="Hyperlink"/>
            <w:noProof/>
            <w:lang w:val="en-US" w:eastAsia="de-AT"/>
          </w:rPr>
          <w:t xml:space="preserve"> of estimates of GHG mitigation potential of Ethanol</w:t>
        </w:r>
        <w:r w:rsidR="001459D7">
          <w:rPr>
            <w:noProof/>
            <w:webHidden/>
          </w:rPr>
          <w:tab/>
        </w:r>
        <w:r>
          <w:rPr>
            <w:noProof/>
            <w:webHidden/>
          </w:rPr>
          <w:fldChar w:fldCharType="begin"/>
        </w:r>
        <w:r w:rsidR="001459D7">
          <w:rPr>
            <w:noProof/>
            <w:webHidden/>
          </w:rPr>
          <w:instrText xml:space="preserve"> PAGEREF _Toc294468953 \h </w:instrText>
        </w:r>
        <w:r>
          <w:rPr>
            <w:noProof/>
            <w:webHidden/>
          </w:rPr>
        </w:r>
        <w:r>
          <w:rPr>
            <w:noProof/>
            <w:webHidden/>
          </w:rPr>
          <w:fldChar w:fldCharType="separate"/>
        </w:r>
        <w:r w:rsidR="001459D7">
          <w:rPr>
            <w:noProof/>
            <w:webHidden/>
          </w:rPr>
          <w:t>9</w:t>
        </w:r>
        <w:r>
          <w:rPr>
            <w:noProof/>
            <w:webHidden/>
          </w:rPr>
          <w:fldChar w:fldCharType="end"/>
        </w:r>
      </w:hyperlink>
    </w:p>
    <w:p w:rsidR="001459D7" w:rsidRDefault="002A0101">
      <w:pPr>
        <w:pStyle w:val="Abbildungsverzeichnis"/>
        <w:tabs>
          <w:tab w:val="right" w:leader="dot" w:pos="9062"/>
        </w:tabs>
        <w:rPr>
          <w:rFonts w:asciiTheme="minorHAnsi" w:eastAsiaTheme="minorEastAsia" w:hAnsiTheme="minorHAnsi" w:cstheme="minorBidi"/>
          <w:noProof/>
          <w:lang w:val="de-AT" w:eastAsia="de-AT"/>
        </w:rPr>
      </w:pPr>
      <w:hyperlink w:anchor="_Toc294468954" w:history="1">
        <w:r w:rsidR="001459D7" w:rsidRPr="00AE5408">
          <w:rPr>
            <w:rStyle w:val="Hyperlink"/>
            <w:noProof/>
          </w:rPr>
          <w:t>Table 3:</w:t>
        </w:r>
        <w:r w:rsidR="001459D7" w:rsidRPr="00AE5408">
          <w:rPr>
            <w:rStyle w:val="Hyperlink"/>
            <w:noProof/>
            <w:lang w:val="en-US"/>
          </w:rPr>
          <w:t xml:space="preserve"> Substitution goals of the EU and Austria</w:t>
        </w:r>
        <w:r w:rsidR="001459D7">
          <w:rPr>
            <w:noProof/>
            <w:webHidden/>
          </w:rPr>
          <w:tab/>
        </w:r>
        <w:r>
          <w:rPr>
            <w:noProof/>
            <w:webHidden/>
          </w:rPr>
          <w:fldChar w:fldCharType="begin"/>
        </w:r>
        <w:r w:rsidR="001459D7">
          <w:rPr>
            <w:noProof/>
            <w:webHidden/>
          </w:rPr>
          <w:instrText xml:space="preserve"> PAGEREF _Toc294468954 \h </w:instrText>
        </w:r>
        <w:r>
          <w:rPr>
            <w:noProof/>
            <w:webHidden/>
          </w:rPr>
        </w:r>
        <w:r>
          <w:rPr>
            <w:noProof/>
            <w:webHidden/>
          </w:rPr>
          <w:fldChar w:fldCharType="separate"/>
        </w:r>
        <w:r w:rsidR="001459D7">
          <w:rPr>
            <w:noProof/>
            <w:webHidden/>
          </w:rPr>
          <w:t>13</w:t>
        </w:r>
        <w:r>
          <w:rPr>
            <w:noProof/>
            <w:webHidden/>
          </w:rPr>
          <w:fldChar w:fldCharType="end"/>
        </w:r>
      </w:hyperlink>
    </w:p>
    <w:p w:rsidR="001459D7" w:rsidRDefault="002A0101">
      <w:pPr>
        <w:pStyle w:val="Abbildungsverzeichnis"/>
        <w:tabs>
          <w:tab w:val="right" w:leader="dot" w:pos="9062"/>
        </w:tabs>
        <w:rPr>
          <w:rFonts w:asciiTheme="minorHAnsi" w:eastAsiaTheme="minorEastAsia" w:hAnsiTheme="minorHAnsi" w:cstheme="minorBidi"/>
          <w:noProof/>
          <w:lang w:val="de-AT" w:eastAsia="de-AT"/>
        </w:rPr>
      </w:pPr>
      <w:hyperlink w:anchor="_Toc294468955" w:history="1">
        <w:r w:rsidR="001459D7" w:rsidRPr="00AE5408">
          <w:rPr>
            <w:rStyle w:val="Hyperlink"/>
            <w:noProof/>
            <w:lang w:val="en-US" w:bidi="en-US"/>
          </w:rPr>
          <w:t>Table 4: Sold amounts of biofuels in Austria 2009</w:t>
        </w:r>
        <w:r w:rsidR="001459D7">
          <w:rPr>
            <w:noProof/>
            <w:webHidden/>
          </w:rPr>
          <w:tab/>
        </w:r>
        <w:r>
          <w:rPr>
            <w:noProof/>
            <w:webHidden/>
          </w:rPr>
          <w:fldChar w:fldCharType="begin"/>
        </w:r>
        <w:r w:rsidR="001459D7">
          <w:rPr>
            <w:noProof/>
            <w:webHidden/>
          </w:rPr>
          <w:instrText xml:space="preserve"> PAGEREF _Toc294468955 \h </w:instrText>
        </w:r>
        <w:r>
          <w:rPr>
            <w:noProof/>
            <w:webHidden/>
          </w:rPr>
        </w:r>
        <w:r>
          <w:rPr>
            <w:noProof/>
            <w:webHidden/>
          </w:rPr>
          <w:fldChar w:fldCharType="separate"/>
        </w:r>
        <w:r w:rsidR="001459D7">
          <w:rPr>
            <w:noProof/>
            <w:webHidden/>
          </w:rPr>
          <w:t>14</w:t>
        </w:r>
        <w:r>
          <w:rPr>
            <w:noProof/>
            <w:webHidden/>
          </w:rPr>
          <w:fldChar w:fldCharType="end"/>
        </w:r>
      </w:hyperlink>
    </w:p>
    <w:p w:rsidR="001459D7" w:rsidRDefault="002A0101">
      <w:pPr>
        <w:pStyle w:val="Abbildungsverzeichnis"/>
        <w:tabs>
          <w:tab w:val="right" w:leader="dot" w:pos="9062"/>
        </w:tabs>
        <w:rPr>
          <w:rFonts w:asciiTheme="minorHAnsi" w:eastAsiaTheme="minorEastAsia" w:hAnsiTheme="minorHAnsi" w:cstheme="minorBidi"/>
          <w:noProof/>
          <w:lang w:val="de-AT" w:eastAsia="de-AT"/>
        </w:rPr>
      </w:pPr>
      <w:hyperlink w:anchor="_Toc294468956" w:history="1">
        <w:r w:rsidR="001459D7" w:rsidRPr="00AE5408">
          <w:rPr>
            <w:rStyle w:val="Hyperlink"/>
            <w:noProof/>
            <w:lang w:val="en-US" w:bidi="en-US"/>
          </w:rPr>
          <w:t>Table 5: Biofuels produced in Austria 2009</w:t>
        </w:r>
        <w:r w:rsidR="001459D7">
          <w:rPr>
            <w:noProof/>
            <w:webHidden/>
          </w:rPr>
          <w:tab/>
        </w:r>
        <w:r>
          <w:rPr>
            <w:noProof/>
            <w:webHidden/>
          </w:rPr>
          <w:fldChar w:fldCharType="begin"/>
        </w:r>
        <w:r w:rsidR="001459D7">
          <w:rPr>
            <w:noProof/>
            <w:webHidden/>
          </w:rPr>
          <w:instrText xml:space="preserve"> PAGEREF _Toc294468956 \h </w:instrText>
        </w:r>
        <w:r>
          <w:rPr>
            <w:noProof/>
            <w:webHidden/>
          </w:rPr>
        </w:r>
        <w:r>
          <w:rPr>
            <w:noProof/>
            <w:webHidden/>
          </w:rPr>
          <w:fldChar w:fldCharType="separate"/>
        </w:r>
        <w:r w:rsidR="001459D7">
          <w:rPr>
            <w:noProof/>
            <w:webHidden/>
          </w:rPr>
          <w:t>14</w:t>
        </w:r>
        <w:r>
          <w:rPr>
            <w:noProof/>
            <w:webHidden/>
          </w:rPr>
          <w:fldChar w:fldCharType="end"/>
        </w:r>
      </w:hyperlink>
    </w:p>
    <w:p w:rsidR="001459D7" w:rsidRDefault="002A0101">
      <w:pPr>
        <w:pStyle w:val="Abbildungsverzeichnis"/>
        <w:tabs>
          <w:tab w:val="right" w:leader="dot" w:pos="9062"/>
        </w:tabs>
        <w:rPr>
          <w:rFonts w:asciiTheme="minorHAnsi" w:eastAsiaTheme="minorEastAsia" w:hAnsiTheme="minorHAnsi" w:cstheme="minorBidi"/>
          <w:noProof/>
          <w:lang w:val="de-AT" w:eastAsia="de-AT"/>
        </w:rPr>
      </w:pPr>
      <w:hyperlink w:anchor="_Toc294468957" w:history="1">
        <w:r w:rsidR="001459D7" w:rsidRPr="00AE5408">
          <w:rPr>
            <w:rStyle w:val="Hyperlink"/>
            <w:noProof/>
          </w:rPr>
          <w:t>Table 6:</w:t>
        </w:r>
        <w:r w:rsidR="001459D7" w:rsidRPr="00AE5408">
          <w:rPr>
            <w:rStyle w:val="Hyperlink"/>
            <w:noProof/>
            <w:lang w:eastAsia="cs-CZ"/>
          </w:rPr>
          <w:t xml:space="preserve"> Firms producing biofuels in the Czech Republic</w:t>
        </w:r>
        <w:r w:rsidR="001459D7">
          <w:rPr>
            <w:noProof/>
            <w:webHidden/>
          </w:rPr>
          <w:tab/>
        </w:r>
        <w:r>
          <w:rPr>
            <w:noProof/>
            <w:webHidden/>
          </w:rPr>
          <w:fldChar w:fldCharType="begin"/>
        </w:r>
        <w:r w:rsidR="001459D7">
          <w:rPr>
            <w:noProof/>
            <w:webHidden/>
          </w:rPr>
          <w:instrText xml:space="preserve"> PAGEREF _Toc294468957 \h </w:instrText>
        </w:r>
        <w:r>
          <w:rPr>
            <w:noProof/>
            <w:webHidden/>
          </w:rPr>
        </w:r>
        <w:r>
          <w:rPr>
            <w:noProof/>
            <w:webHidden/>
          </w:rPr>
          <w:fldChar w:fldCharType="separate"/>
        </w:r>
        <w:r w:rsidR="001459D7">
          <w:rPr>
            <w:noProof/>
            <w:webHidden/>
          </w:rPr>
          <w:t>19</w:t>
        </w:r>
        <w:r>
          <w:rPr>
            <w:noProof/>
            <w:webHidden/>
          </w:rPr>
          <w:fldChar w:fldCharType="end"/>
        </w:r>
      </w:hyperlink>
    </w:p>
    <w:p w:rsidR="00EA4BA0" w:rsidRPr="00EA4BA0" w:rsidRDefault="002A0101" w:rsidP="00EA4BA0">
      <w:pPr>
        <w:rPr>
          <w:lang w:val="de-AT" w:bidi="en-US"/>
        </w:rPr>
      </w:pPr>
      <w:r>
        <w:rPr>
          <w:lang w:val="de-AT" w:bidi="en-US"/>
        </w:rPr>
        <w:fldChar w:fldCharType="end"/>
      </w:r>
    </w:p>
    <w:p w:rsidR="009333AE" w:rsidRPr="0043270C" w:rsidRDefault="00AC067A" w:rsidP="0043270C">
      <w:pPr>
        <w:pStyle w:val="berschrift1"/>
      </w:pPr>
      <w:bookmarkStart w:id="46" w:name="_Toc294469086"/>
      <w:r>
        <w:t>Re</w:t>
      </w:r>
      <w:r w:rsidR="0043270C" w:rsidRPr="0043270C">
        <w:t>ferences</w:t>
      </w:r>
      <w:bookmarkEnd w:id="46"/>
    </w:p>
    <w:p w:rsidR="0043270C" w:rsidRPr="0043270C" w:rsidRDefault="0043270C" w:rsidP="0043270C">
      <w:pPr>
        <w:rPr>
          <w:lang w:val="de-AT" w:bidi="en-US"/>
        </w:rPr>
      </w:pPr>
    </w:p>
    <w:p w:rsidR="008D4A4E" w:rsidRDefault="008D4A4E" w:rsidP="00B50E55">
      <w:r w:rsidRPr="009070D9">
        <w:rPr>
          <w:b/>
        </w:rPr>
        <w:t>AEA Technology</w:t>
      </w:r>
      <w:r>
        <w:rPr>
          <w:b/>
        </w:rPr>
        <w:t xml:space="preserve"> </w:t>
      </w:r>
      <w:r w:rsidRPr="009C7100">
        <w:t>(2008):</w:t>
      </w:r>
      <w:r w:rsidRPr="009070D9">
        <w:t xml:space="preserve"> Review of work on the environmental sustainability of internation</w:t>
      </w:r>
      <w:r>
        <w:t>al biofuels production and use</w:t>
      </w:r>
      <w:r w:rsidRPr="009070D9">
        <w:t>, Department for Environment, Food and Rural Affairs</w:t>
      </w:r>
      <w:r>
        <w:t>, London.</w:t>
      </w:r>
    </w:p>
    <w:p w:rsidR="008D4A4E" w:rsidRPr="00713CD2" w:rsidRDefault="008D4A4E" w:rsidP="00B50E55">
      <w:pPr>
        <w:rPr>
          <w:lang w:val="en-US"/>
        </w:rPr>
      </w:pPr>
      <w:r w:rsidRPr="006B0C20">
        <w:rPr>
          <w:b/>
          <w:lang w:val="de-AT"/>
        </w:rPr>
        <w:t>AGRANA Beteiligungs-Aktiengesellschaft</w:t>
      </w:r>
      <w:r>
        <w:rPr>
          <w:b/>
          <w:lang w:val="de-AT"/>
        </w:rPr>
        <w:t xml:space="preserve"> (2009): </w:t>
      </w:r>
      <w:r w:rsidRPr="006B0C20">
        <w:rPr>
          <w:lang w:val="de-AT"/>
        </w:rPr>
        <w:t>AGRANA B</w:t>
      </w:r>
      <w:r>
        <w:rPr>
          <w:lang w:val="de-AT"/>
        </w:rPr>
        <w:t>ioethanol</w:t>
      </w:r>
      <w:r w:rsidRPr="006B0C20">
        <w:rPr>
          <w:lang w:val="de-AT"/>
        </w:rPr>
        <w:t xml:space="preserve"> – </w:t>
      </w:r>
      <w:r>
        <w:rPr>
          <w:lang w:val="de-AT"/>
        </w:rPr>
        <w:t xml:space="preserve">Jetzt tankt die Umwelt auf, </w:t>
      </w:r>
      <w:r w:rsidRPr="00B50E55">
        <w:rPr>
          <w:lang w:val="de-AT"/>
        </w:rPr>
        <w:t>Nachhaltigkeitsbroschüre</w:t>
      </w:r>
      <w:r>
        <w:rPr>
          <w:lang w:val="de-AT"/>
        </w:rPr>
        <w:t xml:space="preserve">, Vienna. </w:t>
      </w:r>
      <w:r w:rsidRPr="00713CD2">
        <w:rPr>
          <w:lang w:val="en-US"/>
        </w:rPr>
        <w:t xml:space="preserve">Available at: </w:t>
      </w:r>
      <w:hyperlink r:id="rId32" w:history="1">
        <w:r w:rsidRPr="00EA7543">
          <w:rPr>
            <w:rStyle w:val="Hyperlink"/>
            <w:lang w:val="en-US"/>
          </w:rPr>
          <w:t>http://www.raiffeisen-klimaschutz.at/eBusiness/rzb_template1/430016439953223678-430016439953223679_431416516093628114-610651226001952542-NA-NA-DE.html</w:t>
        </w:r>
      </w:hyperlink>
      <w:r>
        <w:rPr>
          <w:lang w:val="en-US"/>
        </w:rPr>
        <w:t xml:space="preserve"> [cit. 23.05.2011]</w:t>
      </w:r>
    </w:p>
    <w:p w:rsidR="008D4A4E" w:rsidRPr="007101E2" w:rsidRDefault="008D4A4E" w:rsidP="00B50E55">
      <w:pPr>
        <w:rPr>
          <w:lang w:val="en-GB"/>
        </w:rPr>
      </w:pPr>
      <w:r w:rsidRPr="007101E2">
        <w:rPr>
          <w:b/>
        </w:rPr>
        <w:t>Ajanovic A</w:t>
      </w:r>
      <w:r w:rsidRPr="007101E2">
        <w:t>.</w:t>
      </w:r>
      <w:r>
        <w:t xml:space="preserve"> (2010)</w:t>
      </w:r>
      <w:r w:rsidRPr="007101E2">
        <w:t>: Biofuels versus food production: Does biofuels production increase food prices ?, Energy (2010), doi: 10.1016/j.energy.2010.05.019.</w:t>
      </w:r>
    </w:p>
    <w:p w:rsidR="008D4A4E" w:rsidRPr="007101E2" w:rsidRDefault="008D4A4E" w:rsidP="00B50E55">
      <w:pPr>
        <w:rPr>
          <w:lang w:val="pt-BR"/>
        </w:rPr>
      </w:pPr>
      <w:r w:rsidRPr="007101E2">
        <w:rPr>
          <w:b/>
          <w:lang w:val="pt-BR"/>
        </w:rPr>
        <w:t>Allianz Brasil/ WWF-Brasil</w:t>
      </w:r>
      <w:r>
        <w:rPr>
          <w:b/>
          <w:lang w:val="pt-BR"/>
        </w:rPr>
        <w:t xml:space="preserve"> </w:t>
      </w:r>
      <w:r w:rsidRPr="009C7100">
        <w:rPr>
          <w:lang w:val="pt-BR"/>
        </w:rPr>
        <w:t>(2009):</w:t>
      </w:r>
      <w:r w:rsidRPr="007101E2">
        <w:rPr>
          <w:lang w:val="pt-BR"/>
        </w:rPr>
        <w:t xml:space="preserve"> O impacto do Mercado mundial de biocombustíveis na expansão da agricultura brasileira e suas consequências para as mudanças climáticas, Documento p</w:t>
      </w:r>
      <w:r>
        <w:rPr>
          <w:lang w:val="pt-BR"/>
        </w:rPr>
        <w:t>ara consulta e debate, Brasília</w:t>
      </w:r>
      <w:r w:rsidRPr="007101E2">
        <w:rPr>
          <w:lang w:val="pt-BR"/>
        </w:rPr>
        <w:t xml:space="preserve">. </w:t>
      </w:r>
    </w:p>
    <w:p w:rsidR="008D4A4E" w:rsidRPr="008D4A4E" w:rsidRDefault="008D4A4E" w:rsidP="00713CD2">
      <w:pPr>
        <w:rPr>
          <w:lang w:val="en-US"/>
        </w:rPr>
      </w:pPr>
      <w:r w:rsidRPr="007101E2">
        <w:rPr>
          <w:b/>
          <w:bCs/>
          <w:lang w:val="de-AT"/>
        </w:rPr>
        <w:t>Bachlet Alexander/ Baumeister Maria et al</w:t>
      </w:r>
      <w:r w:rsidRPr="007101E2">
        <w:rPr>
          <w:lang w:val="de-AT"/>
        </w:rPr>
        <w:t>.</w:t>
      </w:r>
      <w:r>
        <w:rPr>
          <w:lang w:val="de-AT"/>
        </w:rPr>
        <w:t xml:space="preserve"> </w:t>
      </w:r>
      <w:r w:rsidRPr="00713CD2">
        <w:rPr>
          <w:lang w:val="de-AT"/>
        </w:rPr>
        <w:t>(2008): Brennpunkt Biotreibstoffe</w:t>
      </w:r>
      <w:r>
        <w:rPr>
          <w:lang w:val="de-AT"/>
        </w:rPr>
        <w:t>, Broschüre der</w:t>
      </w:r>
      <w:r w:rsidRPr="00713CD2">
        <w:rPr>
          <w:lang w:val="de-AT"/>
        </w:rPr>
        <w:t xml:space="preserve"> Landw</w:t>
      </w:r>
      <w:r>
        <w:rPr>
          <w:lang w:val="de-AT"/>
        </w:rPr>
        <w:t>irtschaftskammer Österreich, des</w:t>
      </w:r>
      <w:r w:rsidRPr="00713CD2">
        <w:rPr>
          <w:lang w:val="de-AT"/>
        </w:rPr>
        <w:t xml:space="preserve"> Österreichische</w:t>
      </w:r>
      <w:r>
        <w:rPr>
          <w:lang w:val="de-AT"/>
        </w:rPr>
        <w:t>n</w:t>
      </w:r>
      <w:r w:rsidRPr="00713CD2">
        <w:rPr>
          <w:lang w:val="de-AT"/>
        </w:rPr>
        <w:t xml:space="preserve"> Biomasse-Verband</w:t>
      </w:r>
      <w:r>
        <w:rPr>
          <w:lang w:val="de-AT"/>
        </w:rPr>
        <w:t>s und de</w:t>
      </w:r>
      <w:r w:rsidRPr="00713CD2">
        <w:rPr>
          <w:lang w:val="de-AT"/>
        </w:rPr>
        <w:t>s Ökosoziale</w:t>
      </w:r>
      <w:r>
        <w:rPr>
          <w:lang w:val="de-AT"/>
        </w:rPr>
        <w:t>n</w:t>
      </w:r>
      <w:r w:rsidRPr="00713CD2">
        <w:rPr>
          <w:lang w:val="de-AT"/>
        </w:rPr>
        <w:t xml:space="preserve"> Forum</w:t>
      </w:r>
      <w:r>
        <w:rPr>
          <w:lang w:val="de-AT"/>
        </w:rPr>
        <w:t xml:space="preserve">s. </w:t>
      </w:r>
      <w:r w:rsidRPr="008D4A4E">
        <w:rPr>
          <w:lang w:val="en-US"/>
        </w:rPr>
        <w:t xml:space="preserve">Available at: </w:t>
      </w:r>
      <w:hyperlink r:id="rId33" w:history="1">
        <w:r w:rsidRPr="008D4A4E">
          <w:rPr>
            <w:rStyle w:val="Hyperlink"/>
            <w:lang w:val="en-US"/>
          </w:rPr>
          <w:t>http://www.oekosozial.at/index.php?id=12951</w:t>
        </w:r>
      </w:hyperlink>
      <w:r w:rsidRPr="008D4A4E">
        <w:rPr>
          <w:lang w:val="en-US"/>
        </w:rPr>
        <w:t xml:space="preserve"> [cit. 23.05.2011]</w:t>
      </w:r>
    </w:p>
    <w:p w:rsidR="008D4A4E" w:rsidRDefault="008D4A4E" w:rsidP="009C7100">
      <w:pPr>
        <w:jc w:val="left"/>
      </w:pPr>
      <w:r w:rsidRPr="006B6AF6">
        <w:rPr>
          <w:b/>
        </w:rPr>
        <w:t>B</w:t>
      </w:r>
      <w:r w:rsidRPr="006B6AF6">
        <w:rPr>
          <w:b/>
          <w:lang w:val="en-US"/>
        </w:rPr>
        <w:t>ö</w:t>
      </w:r>
      <w:r w:rsidR="006B6AF6" w:rsidRPr="006B6AF6">
        <w:rPr>
          <w:b/>
        </w:rPr>
        <w:t xml:space="preserve">rjesson P., </w:t>
      </w:r>
      <w:r w:rsidRPr="006B6AF6">
        <w:rPr>
          <w:b/>
        </w:rPr>
        <w:t>Tufves</w:t>
      </w:r>
      <w:r w:rsidR="006B6AF6" w:rsidRPr="006B6AF6">
        <w:rPr>
          <w:b/>
        </w:rPr>
        <w:t>son</w:t>
      </w:r>
      <w:r w:rsidRPr="006B6AF6">
        <w:rPr>
          <w:b/>
        </w:rPr>
        <w:t xml:space="preserve"> L. M.</w:t>
      </w:r>
      <w:r w:rsidR="006B6AF6">
        <w:t xml:space="preserve"> (2011):</w:t>
      </w:r>
      <w:r w:rsidRPr="004558EF">
        <w:t xml:space="preserve"> „Agricultural crop-based biofuels – resource efficiency and environmental performance including direct land use changes,“Journal of Cleaner Production, Volume 19, Issues 2-3, January-February 2011, Pages 108-120</w:t>
      </w:r>
      <w:r>
        <w:t>.</w:t>
      </w:r>
    </w:p>
    <w:p w:rsidR="008D4A4E" w:rsidRPr="004558EF" w:rsidRDefault="008D4A4E" w:rsidP="00D610E7">
      <w:pPr>
        <w:rPr>
          <w:lang w:val="en-US"/>
        </w:rPr>
      </w:pPr>
      <w:r w:rsidRPr="006B6AF6">
        <w:rPr>
          <w:rStyle w:val="Fett"/>
          <w:rFonts w:cs="Arial"/>
          <w:lang w:val="en-US"/>
        </w:rPr>
        <w:t>Demirbas, A</w:t>
      </w:r>
      <w:r w:rsidR="006B6AF6" w:rsidRPr="006B6AF6">
        <w:rPr>
          <w:rStyle w:val="Fett"/>
          <w:rFonts w:cs="Arial"/>
          <w:lang w:val="en-US"/>
        </w:rPr>
        <w:t>.</w:t>
      </w:r>
      <w:r w:rsidR="006B6AF6">
        <w:rPr>
          <w:rStyle w:val="Fett"/>
          <w:rFonts w:cs="Arial"/>
          <w:b w:val="0"/>
          <w:lang w:val="en-US"/>
        </w:rPr>
        <w:t xml:space="preserve"> </w:t>
      </w:r>
      <w:r w:rsidRPr="004558EF">
        <w:rPr>
          <w:rStyle w:val="Fett"/>
          <w:rFonts w:cs="Arial"/>
          <w:b w:val="0"/>
          <w:lang w:val="en-US"/>
        </w:rPr>
        <w:t>(2009): “</w:t>
      </w:r>
      <w:r w:rsidRPr="004558EF">
        <w:rPr>
          <w:bCs/>
          <w:lang w:val="en-US"/>
        </w:rPr>
        <w:t xml:space="preserve">Biofuels securing the planet’s future energy needs,” Energy Conversion and Management,  </w:t>
      </w:r>
      <w:r w:rsidRPr="004558EF">
        <w:rPr>
          <w:lang w:val="en-US"/>
        </w:rPr>
        <w:t xml:space="preserve">Volume 50, Issue 9, September 2009, Pages 2239-2249, </w:t>
      </w:r>
      <w:r w:rsidRPr="004558EF">
        <w:rPr>
          <w:noProof/>
          <w:lang w:val="de-AT" w:eastAsia="de-AT"/>
        </w:rPr>
        <w:drawing>
          <wp:inline distT="0" distB="0" distL="0" distR="0">
            <wp:extent cx="9525" cy="95250"/>
            <wp:effectExtent l="0" t="0" r="0" b="0"/>
            <wp:docPr id="25" name="Bild 17" descr="http://www.sciencedirect.com/scidirimg/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ciencedirect.com/scidirimg/clear.gif"/>
                    <pic:cNvPicPr>
                      <a:picLocks noChangeAspect="1" noChangeArrowheads="1"/>
                    </pic:cNvPicPr>
                  </pic:nvPicPr>
                  <pic:blipFill>
                    <a:blip r:embed="rId34"/>
                    <a:srcRect/>
                    <a:stretch>
                      <a:fillRect/>
                    </a:stretch>
                  </pic:blipFill>
                  <pic:spPr bwMode="auto">
                    <a:xfrm>
                      <a:off x="0" y="0"/>
                      <a:ext cx="9525" cy="95250"/>
                    </a:xfrm>
                    <a:prstGeom prst="rect">
                      <a:avLst/>
                    </a:prstGeom>
                    <a:noFill/>
                    <a:ln w="9525">
                      <a:noFill/>
                      <a:miter lim="800000"/>
                      <a:headEnd/>
                      <a:tailEnd/>
                    </a:ln>
                  </pic:spPr>
                </pic:pic>
              </a:graphicData>
            </a:graphic>
          </wp:inline>
        </w:drawing>
      </w:r>
      <w:r w:rsidRPr="004558EF">
        <w:rPr>
          <w:lang w:val="en-US"/>
        </w:rPr>
        <w:t>doi:10.1016/j.enconman.2009.05.010</w:t>
      </w:r>
      <w:r>
        <w:rPr>
          <w:lang w:val="en-US"/>
        </w:rPr>
        <w:t>.</w:t>
      </w:r>
    </w:p>
    <w:p w:rsidR="008D4A4E" w:rsidRPr="007101E2" w:rsidRDefault="008D4A4E" w:rsidP="00B50E55">
      <w:pPr>
        <w:rPr>
          <w:lang w:val="en-GB"/>
        </w:rPr>
      </w:pPr>
      <w:r w:rsidRPr="007101E2">
        <w:rPr>
          <w:b/>
        </w:rPr>
        <w:t>Eisentraut A</w:t>
      </w:r>
      <w:r w:rsidRPr="007101E2">
        <w:rPr>
          <w:lang w:val="en-GB"/>
        </w:rPr>
        <w:t>.</w:t>
      </w:r>
      <w:r>
        <w:rPr>
          <w:lang w:val="en-GB"/>
        </w:rPr>
        <w:t xml:space="preserve"> (2010)</w:t>
      </w:r>
      <w:r w:rsidRPr="007101E2">
        <w:rPr>
          <w:lang w:val="en-GB"/>
        </w:rPr>
        <w:t>: Sustainable Production of Second-Generation Biofuels – Potential and perspectives in major economies and developing countries,</w:t>
      </w:r>
      <w:r>
        <w:rPr>
          <w:lang w:val="en-GB"/>
        </w:rPr>
        <w:t xml:space="preserve"> Information Paper, IEA, Paris.</w:t>
      </w:r>
    </w:p>
    <w:p w:rsidR="008D4A4E" w:rsidRPr="007101E2" w:rsidRDefault="008D4A4E" w:rsidP="00B50E55">
      <w:r w:rsidRPr="007101E2">
        <w:rPr>
          <w:b/>
        </w:rPr>
        <w:t>European Commission/Community Research</w:t>
      </w:r>
      <w:r>
        <w:rPr>
          <w:b/>
        </w:rPr>
        <w:t xml:space="preserve"> </w:t>
      </w:r>
      <w:r w:rsidRPr="009C7100">
        <w:t>(2006):</w:t>
      </w:r>
      <w:r w:rsidRPr="007101E2">
        <w:rPr>
          <w:b/>
        </w:rPr>
        <w:t xml:space="preserve"> </w:t>
      </w:r>
      <w:r w:rsidRPr="007101E2">
        <w:t xml:space="preserve">Biofuels in the European Union- A vision for 2030 and beyond, </w:t>
      </w:r>
      <w:r w:rsidRPr="007101E2">
        <w:rPr>
          <w:lang w:eastAsia="en-GB"/>
        </w:rPr>
        <w:t>Final report of the</w:t>
      </w:r>
      <w:r w:rsidRPr="007101E2">
        <w:rPr>
          <w:sz w:val="25"/>
          <w:szCs w:val="25"/>
          <w:lang w:eastAsia="en-GB"/>
        </w:rPr>
        <w:t xml:space="preserve"> </w:t>
      </w:r>
      <w:r w:rsidRPr="007101E2">
        <w:rPr>
          <w:lang w:eastAsia="en-GB"/>
        </w:rPr>
        <w:t>Biofuels Rese</w:t>
      </w:r>
      <w:r>
        <w:rPr>
          <w:lang w:eastAsia="en-GB"/>
        </w:rPr>
        <w:t>arch Advisory Council, Paris.</w:t>
      </w:r>
    </w:p>
    <w:p w:rsidR="008D4A4E" w:rsidRDefault="008D4A4E" w:rsidP="00B50E55">
      <w:r w:rsidRPr="007101E2">
        <w:rPr>
          <w:b/>
        </w:rPr>
        <w:t xml:space="preserve">European Parliament and </w:t>
      </w:r>
      <w:r>
        <w:rPr>
          <w:b/>
        </w:rPr>
        <w:t>–</w:t>
      </w:r>
      <w:r w:rsidRPr="007101E2">
        <w:rPr>
          <w:b/>
        </w:rPr>
        <w:t>Counsil</w:t>
      </w:r>
      <w:r>
        <w:rPr>
          <w:b/>
        </w:rPr>
        <w:t xml:space="preserve"> </w:t>
      </w:r>
      <w:r w:rsidRPr="009C7100">
        <w:t>(2003)</w:t>
      </w:r>
      <w:r w:rsidRPr="009C7100">
        <w:rPr>
          <w:bCs/>
          <w:sz w:val="19"/>
          <w:szCs w:val="19"/>
          <w:lang w:eastAsia="en-GB"/>
        </w:rPr>
        <w:t>:</w:t>
      </w:r>
      <w:r w:rsidRPr="007101E2">
        <w:rPr>
          <w:b/>
          <w:bCs/>
          <w:sz w:val="19"/>
          <w:szCs w:val="19"/>
          <w:lang w:eastAsia="en-GB"/>
        </w:rPr>
        <w:t xml:space="preserve"> </w:t>
      </w:r>
      <w:r w:rsidRPr="007101E2">
        <w:t>DIRECTIVE 2003/30/EC, Official Jour</w:t>
      </w:r>
      <w:r>
        <w:t>nal of the European Union.</w:t>
      </w:r>
    </w:p>
    <w:p w:rsidR="008D4A4E" w:rsidRDefault="008D4A4E" w:rsidP="00B50E55">
      <w:r w:rsidRPr="000D11E7">
        <w:rPr>
          <w:b/>
        </w:rPr>
        <w:t>Fischer G., Hizsnyik E.</w:t>
      </w:r>
      <w:r>
        <w:rPr>
          <w:b/>
        </w:rPr>
        <w:t xml:space="preserve"> </w:t>
      </w:r>
      <w:r w:rsidRPr="009C7100">
        <w:t>(2009):</w:t>
      </w:r>
      <w:r>
        <w:t xml:space="preserve"> Biofuels and food security - Land Use Change and Agriculture Program, International Institute for Applied Systems Analysis, OPEC Fund for Internat. Development (OFID), Vienna.</w:t>
      </w:r>
    </w:p>
    <w:p w:rsidR="008D4A4E" w:rsidRDefault="006B6AF6" w:rsidP="00D610E7">
      <w:r w:rsidRPr="006B6AF6">
        <w:rPr>
          <w:b/>
        </w:rPr>
        <w:lastRenderedPageBreak/>
        <w:t xml:space="preserve">Hellmann, F., </w:t>
      </w:r>
      <w:r w:rsidR="008D4A4E" w:rsidRPr="006B6AF6">
        <w:rPr>
          <w:b/>
        </w:rPr>
        <w:t>Verburg, P. H.</w:t>
      </w:r>
      <w:r>
        <w:t xml:space="preserve"> (2010)</w:t>
      </w:r>
      <w:r w:rsidR="008D4A4E" w:rsidRPr="004558EF">
        <w:t xml:space="preserve">: „Impact assessment of the European biofuel directive on land use and biodiversity,“Original Research Article, </w:t>
      </w:r>
      <w:r w:rsidR="008D4A4E" w:rsidRPr="004558EF">
        <w:rPr>
          <w:i/>
          <w:iCs/>
        </w:rPr>
        <w:t>Journal of Environmental Management</w:t>
      </w:r>
      <w:r w:rsidR="008D4A4E" w:rsidRPr="004558EF">
        <w:t>, Volume 91, Issue 6, June 2010, Pages 1389-1396</w:t>
      </w:r>
      <w:r w:rsidR="008D4A4E">
        <w:t xml:space="preserve">. </w:t>
      </w:r>
    </w:p>
    <w:p w:rsidR="008D4A4E" w:rsidRDefault="006B6AF6" w:rsidP="00D610E7">
      <w:r w:rsidRPr="006B6AF6">
        <w:rPr>
          <w:b/>
        </w:rPr>
        <w:t>Gauder</w:t>
      </w:r>
      <w:r w:rsidR="008D4A4E" w:rsidRPr="006B6AF6">
        <w:rPr>
          <w:b/>
        </w:rPr>
        <w:t xml:space="preserve"> M., Graeff-H</w:t>
      </w:r>
      <w:r w:rsidR="008D4A4E" w:rsidRPr="003C62CC">
        <w:rPr>
          <w:b/>
          <w:lang w:val="de-AT"/>
        </w:rPr>
        <w:t>ö</w:t>
      </w:r>
      <w:r w:rsidRPr="006B6AF6">
        <w:rPr>
          <w:b/>
        </w:rPr>
        <w:t>nninger</w:t>
      </w:r>
      <w:r w:rsidR="008D4A4E" w:rsidRPr="006B6AF6">
        <w:rPr>
          <w:b/>
        </w:rPr>
        <w:t xml:space="preserve"> S.</w:t>
      </w:r>
      <w:r w:rsidRPr="006B6AF6">
        <w:rPr>
          <w:b/>
        </w:rPr>
        <w:t xml:space="preserve"> et al.</w:t>
      </w:r>
      <w:r>
        <w:t xml:space="preserve"> (2001)</w:t>
      </w:r>
      <w:r w:rsidR="008D4A4E" w:rsidRPr="004558EF">
        <w:t>: The impact of a growing bioethanol industry on food production in Brazil, Applied Energy, Volume 88, Issue 3, Pages 672-679</w:t>
      </w:r>
      <w:r w:rsidR="008D4A4E">
        <w:t>.</w:t>
      </w:r>
    </w:p>
    <w:p w:rsidR="00C63B14" w:rsidRPr="00C63B14" w:rsidRDefault="00C63B14" w:rsidP="00C63B14">
      <w:pPr>
        <w:rPr>
          <w:lang w:val="de-AT"/>
        </w:rPr>
      </w:pPr>
      <w:r w:rsidRPr="008120A3">
        <w:rPr>
          <w:b/>
          <w:lang w:val="de-AT" w:eastAsia="cs-CZ"/>
        </w:rPr>
        <w:t>Gartlgruber D.</w:t>
      </w:r>
      <w:r w:rsidRPr="00C63B14">
        <w:rPr>
          <w:lang w:val="de-AT" w:eastAsia="cs-CZ"/>
        </w:rPr>
        <w:t xml:space="preserve"> (2009): Potentiale und K</w:t>
      </w:r>
      <w:r>
        <w:rPr>
          <w:lang w:val="de-AT" w:eastAsia="cs-CZ"/>
        </w:rPr>
        <w:t>ontroversen bei biogenen Treibstoffen, Master thesis, Graz.</w:t>
      </w:r>
    </w:p>
    <w:p w:rsidR="006B6AF6" w:rsidRDefault="008120A3" w:rsidP="008D4A4E">
      <w:r w:rsidRPr="008120A3">
        <w:rPr>
          <w:b/>
        </w:rPr>
        <w:t xml:space="preserve">Havlík P., Schneider </w:t>
      </w:r>
      <w:r w:rsidR="008D4A4E" w:rsidRPr="008120A3">
        <w:rPr>
          <w:b/>
        </w:rPr>
        <w:t>A., et al.</w:t>
      </w:r>
      <w:r w:rsidR="008D4A4E" w:rsidRPr="004558EF">
        <w:t>: „Global land-use implications of first and second generation biofuel targets,“ Energy Policy, Article in press</w:t>
      </w:r>
      <w:r w:rsidR="008D4A4E">
        <w:t>.</w:t>
      </w:r>
      <w:r w:rsidR="006B6AF6">
        <w:t xml:space="preserve"> </w:t>
      </w:r>
    </w:p>
    <w:p w:rsidR="008D4A4E" w:rsidRPr="008D4A4E" w:rsidRDefault="002A0101" w:rsidP="008D4A4E">
      <w:hyperlink r:id="rId35" w:history="1">
        <w:r w:rsidR="008D4A4E" w:rsidRPr="008D4A4E">
          <w:t>http://www.biofuel.org.uk/history-of-biofuels.html</w:t>
        </w:r>
      </w:hyperlink>
      <w:r w:rsidR="008D4A4E" w:rsidRPr="008D4A4E">
        <w:t xml:space="preserve"> [23.5.2010]</w:t>
      </w:r>
    </w:p>
    <w:p w:rsidR="008D4A4E" w:rsidRPr="008D4A4E" w:rsidRDefault="002A0101" w:rsidP="008D4A4E">
      <w:hyperlink r:id="rId36" w:history="1">
        <w:r w:rsidR="008D4A4E" w:rsidRPr="008D4A4E">
          <w:t>http://www.biofuelstp.eu/global_overview.html</w:t>
        </w:r>
      </w:hyperlink>
      <w:r w:rsidR="008D4A4E" w:rsidRPr="008D4A4E">
        <w:t xml:space="preserve"> [23.5.2010]</w:t>
      </w:r>
    </w:p>
    <w:p w:rsidR="008D4A4E" w:rsidRPr="004558EF" w:rsidRDefault="008120A3" w:rsidP="00D610E7">
      <w:r w:rsidRPr="008120A3">
        <w:rPr>
          <w:b/>
        </w:rPr>
        <w:t>Chakravorty</w:t>
      </w:r>
      <w:r w:rsidR="008D4A4E" w:rsidRPr="008120A3">
        <w:rPr>
          <w:b/>
        </w:rPr>
        <w:t xml:space="preserve"> U</w:t>
      </w:r>
      <w:r w:rsidRPr="008120A3">
        <w:rPr>
          <w:b/>
        </w:rPr>
        <w:t>.,</w:t>
      </w:r>
      <w:r w:rsidR="008D4A4E" w:rsidRPr="008120A3">
        <w:rPr>
          <w:b/>
        </w:rPr>
        <w:t xml:space="preserve"> Hube</w:t>
      </w:r>
      <w:r w:rsidRPr="008120A3">
        <w:rPr>
          <w:b/>
        </w:rPr>
        <w:t>rt</w:t>
      </w:r>
      <w:r w:rsidR="008D4A4E" w:rsidRPr="008120A3">
        <w:rPr>
          <w:b/>
        </w:rPr>
        <w:t xml:space="preserve"> </w:t>
      </w:r>
      <w:r w:rsidRPr="008120A3">
        <w:rPr>
          <w:b/>
        </w:rPr>
        <w:t>M.H.</w:t>
      </w:r>
      <w:r w:rsidR="008D4A4E" w:rsidRPr="004558EF">
        <w:t xml:space="preserve"> </w:t>
      </w:r>
      <w:r>
        <w:t>(</w:t>
      </w:r>
      <w:r w:rsidR="008D4A4E" w:rsidRPr="004558EF">
        <w:t>2011</w:t>
      </w:r>
      <w:r>
        <w:t>):</w:t>
      </w:r>
      <w:r w:rsidR="008D4A4E" w:rsidRPr="004558EF">
        <w:t xml:space="preserve"> "</w:t>
      </w:r>
      <w:r w:rsidR="008D4A4E" w:rsidRPr="004558EF">
        <w:rPr>
          <w:bCs/>
        </w:rPr>
        <w:t>Will Biofuel Mandates Raise Food Prices?</w:t>
      </w:r>
      <w:r w:rsidR="008D4A4E" w:rsidRPr="004558EF">
        <w:t xml:space="preserve">," Working Papers 2011-1, University of Alberta, Department of Economics, available at: http://ideas.repec.org/p/ris/albaec/2011_001.html </w:t>
      </w:r>
      <w:r w:rsidR="008D4A4E" w:rsidRPr="004558EF">
        <w:rPr>
          <w:lang w:val="en-US"/>
        </w:rPr>
        <w:t>[cit. 13</w:t>
      </w:r>
      <w:r w:rsidR="008D4A4E" w:rsidRPr="004558EF">
        <w:t>-12-2010</w:t>
      </w:r>
      <w:r w:rsidR="008D4A4E" w:rsidRPr="004558EF">
        <w:rPr>
          <w:lang w:val="en-US"/>
        </w:rPr>
        <w:t>]</w:t>
      </w:r>
    </w:p>
    <w:p w:rsidR="008D4A4E" w:rsidRPr="004558EF" w:rsidRDefault="008D4A4E" w:rsidP="00D610E7">
      <w:pPr>
        <w:rPr>
          <w:lang w:val="en-US"/>
        </w:rPr>
      </w:pPr>
      <w:r w:rsidRPr="008120A3">
        <w:rPr>
          <w:b/>
          <w:bCs/>
          <w:lang w:val="en-US"/>
        </w:rPr>
        <w:t>IEA/OECD</w:t>
      </w:r>
      <w:r w:rsidRPr="004558EF">
        <w:rPr>
          <w:bCs/>
          <w:lang w:val="en-US"/>
        </w:rPr>
        <w:t xml:space="preserve"> (2009): “From 1st- to 2nd-Generation Biofuel Technologies - Full Report</w:t>
      </w:r>
      <w:r w:rsidRPr="004558EF">
        <w:rPr>
          <w:lang w:val="en-US"/>
        </w:rPr>
        <w:t xml:space="preserve">- </w:t>
      </w:r>
      <w:r w:rsidRPr="004558EF">
        <w:rPr>
          <w:iCs/>
          <w:lang w:val="en-US"/>
        </w:rPr>
        <w:t xml:space="preserve">An Overview of Current Industry and RD&amp;D Activities,” IEA, 2009, available online at: </w:t>
      </w:r>
      <w:r w:rsidRPr="004558EF">
        <w:rPr>
          <w:lang w:val="en-US"/>
        </w:rPr>
        <w:t>http://www.iea.org/papers/2008/2nd_Biofuel_Gen.pdf [cit. 13</w:t>
      </w:r>
      <w:r w:rsidRPr="004558EF">
        <w:t>-12-2010</w:t>
      </w:r>
      <w:r w:rsidRPr="004558EF">
        <w:rPr>
          <w:lang w:val="en-US"/>
        </w:rPr>
        <w:t>]</w:t>
      </w:r>
    </w:p>
    <w:p w:rsidR="008D4A4E" w:rsidRDefault="008D4A4E" w:rsidP="009C7100">
      <w:pPr>
        <w:jc w:val="left"/>
        <w:rPr>
          <w:lang w:val="de-AT"/>
        </w:rPr>
      </w:pPr>
      <w:r w:rsidRPr="008120A3">
        <w:rPr>
          <w:b/>
          <w:lang w:val="de-AT"/>
        </w:rPr>
        <w:t>Lebensministerium Öffentlichkeitsarbeit</w:t>
      </w:r>
      <w:r w:rsidRPr="00B650C5">
        <w:rPr>
          <w:lang w:val="de-AT"/>
        </w:rPr>
        <w:t>: available at: http://land.lebensministerium.at/article/articl</w:t>
      </w:r>
      <w:r>
        <w:rPr>
          <w:lang w:val="de-AT"/>
        </w:rPr>
        <w:t>eview/71373/1/4961 [23.05.2011]</w:t>
      </w:r>
    </w:p>
    <w:p w:rsidR="008D4A4E" w:rsidRDefault="008D4A4E" w:rsidP="00D610E7">
      <w:pPr>
        <w:rPr>
          <w:lang w:val="en-US"/>
        </w:rPr>
      </w:pPr>
      <w:bookmarkStart w:id="47" w:name="bvt1"/>
      <w:bookmarkStart w:id="48" w:name="bcor1"/>
      <w:bookmarkEnd w:id="47"/>
      <w:bookmarkEnd w:id="48"/>
      <w:r w:rsidRPr="008120A3">
        <w:rPr>
          <w:rStyle w:val="Fett"/>
          <w:rFonts w:cs="Arial"/>
          <w:lang w:val="en-US"/>
        </w:rPr>
        <w:t>Singh</w:t>
      </w:r>
      <w:r w:rsidR="008120A3" w:rsidRPr="008120A3">
        <w:rPr>
          <w:rStyle w:val="Fett"/>
          <w:rFonts w:cs="Arial"/>
          <w:lang w:val="en-US"/>
        </w:rPr>
        <w:t xml:space="preserve"> N.</w:t>
      </w:r>
      <w:r w:rsidRPr="008120A3">
        <w:rPr>
          <w:rStyle w:val="Fett"/>
          <w:rFonts w:cs="Arial"/>
          <w:lang w:val="en-US"/>
        </w:rPr>
        <w:t xml:space="preserve">, </w:t>
      </w:r>
      <w:r w:rsidR="008120A3" w:rsidRPr="008120A3">
        <w:rPr>
          <w:rStyle w:val="Fett"/>
          <w:rFonts w:cs="Arial"/>
          <w:lang w:val="en-US"/>
        </w:rPr>
        <w:t>Anoop S.</w:t>
      </w:r>
      <w:r w:rsidRPr="004558EF">
        <w:rPr>
          <w:rStyle w:val="Fett"/>
          <w:rFonts w:cs="Arial"/>
          <w:b w:val="0"/>
          <w:lang w:val="en-US"/>
        </w:rPr>
        <w:t xml:space="preserve"> (2011): “</w:t>
      </w:r>
      <w:r w:rsidRPr="004558EF">
        <w:rPr>
          <w:bCs/>
          <w:lang w:val="en-US"/>
        </w:rPr>
        <w:t xml:space="preserve">Production of liquid biofuels from renewable resources,” </w:t>
      </w:r>
      <w:hyperlink r:id="rId37" w:history="1">
        <w:r w:rsidRPr="004558EF">
          <w:rPr>
            <w:rStyle w:val="Hyperlink"/>
            <w:rFonts w:cs="Arial"/>
            <w:bCs/>
            <w:color w:val="auto"/>
            <w:u w:val="none"/>
            <w:lang w:val="en-US"/>
          </w:rPr>
          <w:t>Progress in Energy and Combustion Science</w:t>
        </w:r>
      </w:hyperlink>
      <w:r w:rsidRPr="004558EF">
        <w:rPr>
          <w:lang w:val="en-US"/>
        </w:rPr>
        <w:t xml:space="preserve">,  </w:t>
      </w:r>
      <w:hyperlink r:id="rId38" w:history="1">
        <w:r w:rsidRPr="004558EF">
          <w:rPr>
            <w:rStyle w:val="Hyperlink"/>
            <w:rFonts w:cs="Arial"/>
            <w:color w:val="auto"/>
            <w:u w:val="none"/>
            <w:lang w:val="en-US"/>
          </w:rPr>
          <w:t>Volume 37, Issue 1</w:t>
        </w:r>
      </w:hyperlink>
      <w:r w:rsidRPr="004558EF">
        <w:rPr>
          <w:lang w:val="en-US"/>
        </w:rPr>
        <w:t xml:space="preserve">, February 2011, Pages 52-68, </w:t>
      </w:r>
      <w:r w:rsidRPr="004558EF">
        <w:rPr>
          <w:noProof/>
          <w:lang w:val="de-AT" w:eastAsia="de-AT"/>
        </w:rPr>
        <w:drawing>
          <wp:inline distT="0" distB="0" distL="0" distR="0">
            <wp:extent cx="9525" cy="95250"/>
            <wp:effectExtent l="0" t="0" r="0" b="0"/>
            <wp:docPr id="26" name="Bild 16" descr="http://www.sciencedirect.com/scidirimg/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ciencedirect.com/scidirimg/clear.gif"/>
                    <pic:cNvPicPr>
                      <a:picLocks noChangeAspect="1" noChangeArrowheads="1"/>
                    </pic:cNvPicPr>
                  </pic:nvPicPr>
                  <pic:blipFill>
                    <a:blip r:embed="rId34"/>
                    <a:srcRect/>
                    <a:stretch>
                      <a:fillRect/>
                    </a:stretch>
                  </pic:blipFill>
                  <pic:spPr bwMode="auto">
                    <a:xfrm>
                      <a:off x="0" y="0"/>
                      <a:ext cx="9525" cy="95250"/>
                    </a:xfrm>
                    <a:prstGeom prst="rect">
                      <a:avLst/>
                    </a:prstGeom>
                    <a:noFill/>
                    <a:ln w="9525">
                      <a:noFill/>
                      <a:miter lim="800000"/>
                      <a:headEnd/>
                      <a:tailEnd/>
                    </a:ln>
                  </pic:spPr>
                </pic:pic>
              </a:graphicData>
            </a:graphic>
          </wp:inline>
        </w:drawing>
      </w:r>
      <w:hyperlink r:id="rId39" w:tgtFrame="doilink" w:history="1">
        <w:r w:rsidRPr="004558EF">
          <w:rPr>
            <w:rStyle w:val="Hyperlink"/>
            <w:rFonts w:cs="Arial"/>
            <w:color w:val="auto"/>
            <w:u w:val="none"/>
            <w:lang w:val="en-US"/>
          </w:rPr>
          <w:t>doi:10.1016/j.pecs.2010.01.003</w:t>
        </w:r>
      </w:hyperlink>
      <w:bookmarkStart w:id="49" w:name="au1"/>
      <w:bookmarkEnd w:id="49"/>
      <w:r>
        <w:rPr>
          <w:lang w:val="en-US"/>
        </w:rPr>
        <w:t xml:space="preserve">. </w:t>
      </w:r>
    </w:p>
    <w:p w:rsidR="008D4A4E" w:rsidRDefault="00B67D73" w:rsidP="00D610E7">
      <w:r w:rsidRPr="00B67D73">
        <w:rPr>
          <w:b/>
        </w:rPr>
        <w:t>Pittman Jon K., Dean</w:t>
      </w:r>
      <w:r w:rsidR="008D4A4E" w:rsidRPr="00B67D73">
        <w:rPr>
          <w:b/>
        </w:rPr>
        <w:t xml:space="preserve"> Andrew P. </w:t>
      </w:r>
      <w:r w:rsidRPr="00B67D73">
        <w:rPr>
          <w:b/>
        </w:rPr>
        <w:t>et al</w:t>
      </w:r>
      <w:r w:rsidR="008D4A4E" w:rsidRPr="00B67D73">
        <w:rPr>
          <w:b/>
        </w:rPr>
        <w:t>.</w:t>
      </w:r>
      <w:r>
        <w:t xml:space="preserve"> (2011)</w:t>
      </w:r>
      <w:r w:rsidR="008D4A4E" w:rsidRPr="004558EF">
        <w:t>: „The potential of sustainable algal biofuel production using wastewater resources“,</w:t>
      </w:r>
      <w:r w:rsidR="008D4A4E" w:rsidRPr="004558EF">
        <w:rPr>
          <w:bCs/>
        </w:rPr>
        <w:t xml:space="preserve"> </w:t>
      </w:r>
      <w:r w:rsidR="008D4A4E" w:rsidRPr="004558EF">
        <w:rPr>
          <w:i/>
          <w:iCs/>
        </w:rPr>
        <w:t>Bioresource Technology,</w:t>
      </w:r>
      <w:r>
        <w:t>Volume 102, Issue 1</w:t>
      </w:r>
      <w:r w:rsidR="008D4A4E" w:rsidRPr="004558EF">
        <w:t>, Pages 17-25, Special Issue: Biofuels - II: Algal Biofuels and Microbial Fuel Cells</w:t>
      </w:r>
      <w:r w:rsidR="008D4A4E">
        <w:t>.</w:t>
      </w:r>
    </w:p>
    <w:p w:rsidR="008D4A4E" w:rsidRDefault="00B67D73" w:rsidP="00D610E7">
      <w:pPr>
        <w:rPr>
          <w:bCs/>
          <w:lang w:val="en-US"/>
        </w:rPr>
      </w:pPr>
      <w:r w:rsidRPr="00B67D73">
        <w:rPr>
          <w:b/>
          <w:bCs/>
          <w:lang w:val="en-US"/>
        </w:rPr>
        <w:t>Reinhardt G., and von Falkenstein</w:t>
      </w:r>
      <w:r w:rsidR="008D4A4E" w:rsidRPr="00B67D73">
        <w:rPr>
          <w:b/>
          <w:bCs/>
          <w:lang w:val="en-US"/>
        </w:rPr>
        <w:t xml:space="preserve"> E.</w:t>
      </w:r>
      <w:r w:rsidR="008D4A4E" w:rsidRPr="004558EF">
        <w:rPr>
          <w:bCs/>
          <w:lang w:val="en-US"/>
        </w:rPr>
        <w:t xml:space="preserve"> (2010): “Environmental assessment of biofuels for transport and the aspects of land use Competition“, Biomass and Bioenergy (2010), doi:10.1016/j.biombioe.2010.10.036, article in press</w:t>
      </w:r>
      <w:r w:rsidR="008D4A4E">
        <w:rPr>
          <w:bCs/>
          <w:lang w:val="en-US"/>
        </w:rPr>
        <w:t>.</w:t>
      </w:r>
    </w:p>
    <w:p w:rsidR="008D4A4E" w:rsidRPr="004558EF" w:rsidRDefault="008D4A4E" w:rsidP="00D610E7">
      <w:r w:rsidRPr="00B67D73">
        <w:rPr>
          <w:b/>
        </w:rPr>
        <w:t>Silva Lora EE, et al.</w:t>
      </w:r>
      <w:r w:rsidR="00B67D73">
        <w:rPr>
          <w:b/>
        </w:rPr>
        <w:t xml:space="preserve"> </w:t>
      </w:r>
      <w:r w:rsidR="00B67D73" w:rsidRPr="00B67D73">
        <w:t>(2010)</w:t>
      </w:r>
      <w:r w:rsidR="00B67D73">
        <w:t>:</w:t>
      </w:r>
      <w:r w:rsidRPr="004558EF">
        <w:t xml:space="preserve"> Issues to consider, existing tools and constraints in biofuels sustainability assessments, Energy (2010), doi:10.1016/j.energy.2010.06.012 (str.6) – article in press </w:t>
      </w:r>
      <w:r w:rsidRPr="004558EF">
        <w:rPr>
          <w:lang w:val="en-US"/>
        </w:rPr>
        <w:t>[cit. 13</w:t>
      </w:r>
      <w:r w:rsidRPr="004558EF">
        <w:t>-12-2010</w:t>
      </w:r>
      <w:r w:rsidRPr="004558EF">
        <w:rPr>
          <w:lang w:val="en-US"/>
        </w:rPr>
        <w:t>]</w:t>
      </w:r>
    </w:p>
    <w:p w:rsidR="008D4A4E" w:rsidRPr="007101E2" w:rsidRDefault="00516104" w:rsidP="00B50E55">
      <w:pPr>
        <w:rPr>
          <w:lang w:val="en-GB"/>
        </w:rPr>
      </w:pPr>
      <w:r>
        <w:rPr>
          <w:b/>
          <w:bCs/>
        </w:rPr>
        <w:t>Sims R.,</w:t>
      </w:r>
      <w:r w:rsidR="008D4A4E" w:rsidRPr="007101E2">
        <w:rPr>
          <w:b/>
          <w:bCs/>
        </w:rPr>
        <w:t xml:space="preserve"> Mabee </w:t>
      </w:r>
      <w:r>
        <w:rPr>
          <w:b/>
          <w:bCs/>
        </w:rPr>
        <w:t xml:space="preserve">W. </w:t>
      </w:r>
      <w:r w:rsidR="008D4A4E" w:rsidRPr="007101E2">
        <w:rPr>
          <w:b/>
          <w:bCs/>
        </w:rPr>
        <w:t>et al</w:t>
      </w:r>
      <w:r w:rsidR="008D4A4E" w:rsidRPr="007101E2">
        <w:t>.</w:t>
      </w:r>
      <w:r w:rsidR="008D4A4E">
        <w:t xml:space="preserve"> (2010)</w:t>
      </w:r>
      <w:r w:rsidR="008D4A4E" w:rsidRPr="007101E2">
        <w:t>: An overv</w:t>
      </w:r>
      <w:r w:rsidR="008D4A4E" w:rsidRPr="007101E2">
        <w:rPr>
          <w:lang w:val="en-GB"/>
        </w:rPr>
        <w:t>iew of second generation biofuel technologi</w:t>
      </w:r>
      <w:r w:rsidR="008D4A4E">
        <w:rPr>
          <w:lang w:val="en-GB"/>
        </w:rPr>
        <w:t>es, Bioresource Technology 101, p. 1570-1580.</w:t>
      </w:r>
    </w:p>
    <w:p w:rsidR="008D4A4E" w:rsidRDefault="00516104" w:rsidP="00D610E7">
      <w:r w:rsidRPr="00516104">
        <w:rPr>
          <w:b/>
        </w:rPr>
        <w:t>Sorda G., Banse M. et al</w:t>
      </w:r>
      <w:r w:rsidR="008D4A4E" w:rsidRPr="004558EF">
        <w:t>.</w:t>
      </w:r>
      <w:r>
        <w:t xml:space="preserve"> (2010)</w:t>
      </w:r>
      <w:r w:rsidR="008D4A4E" w:rsidRPr="004558EF">
        <w:t>: „An overview of biofuel policies across the world,“Energy Policy,</w:t>
      </w:r>
      <w:r w:rsidR="008D4A4E" w:rsidRPr="004558EF">
        <w:rPr>
          <w:bCs/>
        </w:rPr>
        <w:t xml:space="preserve"> </w:t>
      </w:r>
      <w:r w:rsidR="008D4A4E" w:rsidRPr="004558EF">
        <w:t>Volume 38, Issue 11, November 2010, Pages 6977-6988</w:t>
      </w:r>
      <w:r w:rsidR="008D4A4E">
        <w:t>.</w:t>
      </w:r>
    </w:p>
    <w:p w:rsidR="008D4A4E" w:rsidRPr="004558EF" w:rsidRDefault="00B67D73" w:rsidP="00D610E7">
      <w:r w:rsidRPr="00B67D73">
        <w:rPr>
          <w:b/>
        </w:rPr>
        <w:t>Timilsina G., Shrestha A.</w:t>
      </w:r>
      <w:r>
        <w:t xml:space="preserve"> (2010):</w:t>
      </w:r>
      <w:r w:rsidR="008D4A4E" w:rsidRPr="004558EF">
        <w:t xml:space="preserve"> How much hope should we have for biofuels?, Energy (2010), doi:10.1016/j.energy.2010.08.023 </w:t>
      </w:r>
      <w:r w:rsidR="008D4A4E" w:rsidRPr="004558EF">
        <w:rPr>
          <w:lang w:val="en-US"/>
        </w:rPr>
        <w:t>[cit. 13</w:t>
      </w:r>
      <w:r w:rsidR="008D4A4E" w:rsidRPr="004558EF">
        <w:t>-12-2010</w:t>
      </w:r>
      <w:r w:rsidR="008D4A4E" w:rsidRPr="004558EF">
        <w:rPr>
          <w:lang w:val="en-US"/>
        </w:rPr>
        <w:t>]</w:t>
      </w:r>
    </w:p>
    <w:p w:rsidR="008D4A4E" w:rsidRDefault="008D4A4E" w:rsidP="00B50E55">
      <w:pPr>
        <w:rPr>
          <w:lang w:val="de-AT"/>
        </w:rPr>
      </w:pPr>
      <w:r w:rsidRPr="00870983">
        <w:rPr>
          <w:b/>
          <w:lang w:val="de-AT"/>
        </w:rPr>
        <w:t>Winter R.</w:t>
      </w:r>
      <w:r>
        <w:rPr>
          <w:b/>
          <w:lang w:val="de-AT"/>
        </w:rPr>
        <w:t xml:space="preserve"> </w:t>
      </w:r>
      <w:r w:rsidRPr="009C7100">
        <w:rPr>
          <w:lang w:val="de-AT"/>
        </w:rPr>
        <w:t>(2010):</w:t>
      </w:r>
      <w:r>
        <w:rPr>
          <w:lang w:val="de-AT"/>
        </w:rPr>
        <w:t xml:space="preserve"> </w:t>
      </w:r>
      <w:r w:rsidRPr="00870983">
        <w:rPr>
          <w:lang w:val="de-AT"/>
        </w:rPr>
        <w:t>Biokraftstoffe im Verkehrssektor 2010</w:t>
      </w:r>
      <w:r>
        <w:rPr>
          <w:lang w:val="de-AT"/>
        </w:rPr>
        <w:t xml:space="preserve">, </w:t>
      </w:r>
      <w:r w:rsidRPr="00870983">
        <w:rPr>
          <w:lang w:val="de-AT"/>
        </w:rPr>
        <w:t>Bundesministerium für Land- und Forstwirtschaft, Umwelt und Wasserwirtschaft</w:t>
      </w:r>
      <w:r>
        <w:rPr>
          <w:lang w:val="de-AT"/>
        </w:rPr>
        <w:t>, Vienna.</w:t>
      </w:r>
    </w:p>
    <w:p w:rsidR="008D4A4E" w:rsidRPr="004558EF" w:rsidRDefault="008D4A4E" w:rsidP="009C7100">
      <w:pPr>
        <w:jc w:val="left"/>
        <w:rPr>
          <w:lang w:val="en-US"/>
        </w:rPr>
      </w:pPr>
      <w:r w:rsidRPr="00516104">
        <w:rPr>
          <w:b/>
          <w:lang w:val="en-US"/>
        </w:rPr>
        <w:t>World Bioplants</w:t>
      </w:r>
      <w:r w:rsidRPr="004558EF">
        <w:rPr>
          <w:lang w:val="en-US"/>
        </w:rPr>
        <w:t>: www.worldbioplants.com online available at: http://worldbioplants.com/country/CZECH_REPUBLIC [cit. 13</w:t>
      </w:r>
      <w:r w:rsidRPr="004558EF">
        <w:t>-4-2011</w:t>
      </w:r>
      <w:r w:rsidRPr="004558EF">
        <w:rPr>
          <w:lang w:val="en-US"/>
        </w:rPr>
        <w:t>]</w:t>
      </w:r>
    </w:p>
    <w:p w:rsidR="009333AE" w:rsidRDefault="006279C9" w:rsidP="006279C9">
      <w:pPr>
        <w:jc w:val="left"/>
      </w:pPr>
      <w:r w:rsidRPr="006279C9">
        <w:rPr>
          <w:b/>
        </w:rPr>
        <w:t xml:space="preserve">Putzer H. </w:t>
      </w:r>
      <w:r w:rsidRPr="00516104">
        <w:t>(2010):</w:t>
      </w:r>
      <w:r>
        <w:t xml:space="preserve"> Hungerkriege: das Schicksal unserer Kinder?, Leykam, Graz.</w:t>
      </w:r>
    </w:p>
    <w:p w:rsidR="003963E8" w:rsidRPr="003963E8" w:rsidRDefault="003963E8" w:rsidP="003963E8">
      <w:pPr>
        <w:jc w:val="left"/>
        <w:rPr>
          <w:bCs/>
          <w:lang w:val="en-US"/>
        </w:rPr>
      </w:pPr>
      <w:r w:rsidRPr="003963E8">
        <w:rPr>
          <w:b/>
          <w:bCs/>
          <w:lang w:val="en-US"/>
        </w:rPr>
        <w:t>International Monetary Fund</w:t>
      </w:r>
      <w:r>
        <w:rPr>
          <w:bCs/>
          <w:lang w:val="en-US"/>
        </w:rPr>
        <w:t xml:space="preserve"> (IMF) (2008): </w:t>
      </w:r>
      <w:r w:rsidRPr="003963E8">
        <w:rPr>
          <w:bCs/>
          <w:lang w:val="en-US"/>
        </w:rPr>
        <w:t>Food and Fuel Prices—Recent Developments,</w:t>
      </w:r>
      <w:r>
        <w:rPr>
          <w:bCs/>
          <w:lang w:val="en-US"/>
        </w:rPr>
        <w:t xml:space="preserve"> </w:t>
      </w:r>
      <w:r w:rsidRPr="003963E8">
        <w:rPr>
          <w:bCs/>
          <w:lang w:val="en-US"/>
        </w:rPr>
        <w:t>Macroeconomic Impact, and Policy Responses</w:t>
      </w:r>
      <w:r>
        <w:rPr>
          <w:bCs/>
          <w:lang w:val="en-US"/>
        </w:rPr>
        <w:t>.</w:t>
      </w:r>
    </w:p>
    <w:p w:rsidR="003963E8" w:rsidRDefault="003963E8" w:rsidP="00D610E7">
      <w:pPr>
        <w:rPr>
          <w:bCs/>
          <w:u w:val="single"/>
          <w:lang w:val="en-US"/>
        </w:rPr>
      </w:pPr>
    </w:p>
    <w:p w:rsidR="009333AE" w:rsidRDefault="009333AE" w:rsidP="00D610E7">
      <w:pPr>
        <w:rPr>
          <w:bCs/>
          <w:u w:val="single"/>
          <w:lang w:val="en-US"/>
        </w:rPr>
      </w:pPr>
      <w:r w:rsidRPr="004558EF">
        <w:rPr>
          <w:bCs/>
          <w:u w:val="single"/>
          <w:lang w:val="en-US"/>
        </w:rPr>
        <w:lastRenderedPageBreak/>
        <w:t>Data sources:</w:t>
      </w:r>
    </w:p>
    <w:p w:rsidR="00B67D73" w:rsidRPr="004558EF" w:rsidRDefault="00B67D73" w:rsidP="00D610E7">
      <w:pPr>
        <w:rPr>
          <w:bCs/>
          <w:u w:val="single"/>
          <w:lang w:val="en-US"/>
        </w:rPr>
      </w:pPr>
    </w:p>
    <w:p w:rsidR="008D4A4E" w:rsidRPr="004558EF" w:rsidRDefault="008D4A4E" w:rsidP="00D610E7">
      <w:pPr>
        <w:rPr>
          <w:lang w:val="en-US"/>
        </w:rPr>
      </w:pPr>
      <w:r w:rsidRPr="00B67D73">
        <w:rPr>
          <w:b/>
          <w:bCs/>
          <w:lang w:val="en-US"/>
        </w:rPr>
        <w:t>ČSÚ</w:t>
      </w:r>
      <w:r w:rsidRPr="004558EF">
        <w:rPr>
          <w:bCs/>
          <w:lang w:val="en-US"/>
        </w:rPr>
        <w:t xml:space="preserve"> </w:t>
      </w:r>
      <w:r w:rsidRPr="004558EF">
        <w:rPr>
          <w:lang w:val="en-US"/>
        </w:rPr>
        <w:t>(Czech statistical office):  Czech Republic from 1989 in figures: available online at:</w:t>
      </w:r>
      <w:r w:rsidRPr="004558EF">
        <w:rPr>
          <w:bCs/>
          <w:lang w:val="en-US"/>
        </w:rPr>
        <w:t xml:space="preserve"> http://www.czso.cz/csu/redakce.nsf/i/cr_od_roku_1989#03 </w:t>
      </w:r>
      <w:r w:rsidRPr="004558EF">
        <w:rPr>
          <w:lang w:val="en-US"/>
        </w:rPr>
        <w:t>[cit. 13</w:t>
      </w:r>
      <w:r w:rsidRPr="004558EF">
        <w:t>-5-2011</w:t>
      </w:r>
      <w:r w:rsidRPr="004558EF">
        <w:rPr>
          <w:lang w:val="en-US"/>
        </w:rPr>
        <w:t>]</w:t>
      </w:r>
    </w:p>
    <w:p w:rsidR="008D4A4E" w:rsidRPr="004558EF" w:rsidRDefault="008D4A4E" w:rsidP="00D610E7">
      <w:pPr>
        <w:rPr>
          <w:lang w:val="en-US"/>
        </w:rPr>
      </w:pPr>
      <w:r w:rsidRPr="00B67D73">
        <w:rPr>
          <w:b/>
          <w:lang w:val="en-US"/>
        </w:rPr>
        <w:t>ČSÚ</w:t>
      </w:r>
      <w:r w:rsidRPr="004558EF">
        <w:rPr>
          <w:lang w:val="en-US"/>
        </w:rPr>
        <w:t xml:space="preserve"> (Czech statistical office):  Public database: available online at:</w:t>
      </w:r>
      <w:r w:rsidRPr="004558EF">
        <w:rPr>
          <w:bCs/>
          <w:lang w:val="en-US"/>
        </w:rPr>
        <w:t xml:space="preserve"> http://vdb.czso.cz/vdbvo/maklist.jsp?kapitola_id=30&amp; </w:t>
      </w:r>
      <w:r w:rsidRPr="004558EF">
        <w:rPr>
          <w:lang w:val="en-US"/>
        </w:rPr>
        <w:t>[cit. 13</w:t>
      </w:r>
      <w:r w:rsidRPr="004558EF">
        <w:t>-5-2011</w:t>
      </w:r>
      <w:r w:rsidRPr="004558EF">
        <w:rPr>
          <w:lang w:val="en-US"/>
        </w:rPr>
        <w:t>]</w:t>
      </w:r>
    </w:p>
    <w:p w:rsidR="008D4A4E" w:rsidRPr="004558EF" w:rsidRDefault="008D4A4E" w:rsidP="00D610E7">
      <w:pPr>
        <w:rPr>
          <w:lang w:val="en-US"/>
        </w:rPr>
      </w:pPr>
      <w:r w:rsidRPr="00B67D73">
        <w:rPr>
          <w:b/>
          <w:lang w:val="en-US"/>
        </w:rPr>
        <w:t>ČSÚ</w:t>
      </w:r>
      <w:r w:rsidRPr="004558EF">
        <w:rPr>
          <w:lang w:val="en-US"/>
        </w:rPr>
        <w:t xml:space="preserve"> (Czech statistical office): Prices, Inflation; Inflation, Consumer prices; Inflation rate available online at: http://www.czso.cz/eng/redakce.nsf/i/inflation_rate [cit. 13</w:t>
      </w:r>
      <w:r w:rsidRPr="004558EF">
        <w:t>-5-2011</w:t>
      </w:r>
      <w:r w:rsidRPr="004558EF">
        <w:rPr>
          <w:lang w:val="en-US"/>
        </w:rPr>
        <w:t>]</w:t>
      </w:r>
    </w:p>
    <w:p w:rsidR="008D4A4E" w:rsidRPr="004558EF" w:rsidRDefault="008D4A4E" w:rsidP="00D610E7">
      <w:pPr>
        <w:rPr>
          <w:lang w:val="en-US"/>
        </w:rPr>
      </w:pPr>
      <w:r w:rsidRPr="00B67D73">
        <w:rPr>
          <w:b/>
          <w:bCs/>
          <w:lang w:val="en-US"/>
        </w:rPr>
        <w:t>FAO</w:t>
      </w:r>
      <w:r w:rsidRPr="004558EF">
        <w:rPr>
          <w:bCs/>
          <w:lang w:val="en-US"/>
        </w:rPr>
        <w:t xml:space="preserve">: FAOSTAT: PriceSTAT: available online at: http://faostat.fao.org/site/570/default.aspx#ancor </w:t>
      </w:r>
      <w:r w:rsidRPr="004558EF">
        <w:rPr>
          <w:lang w:val="en-US"/>
        </w:rPr>
        <w:t>[cit. 13</w:t>
      </w:r>
      <w:r w:rsidRPr="004558EF">
        <w:t>-5-2011</w:t>
      </w:r>
      <w:r w:rsidRPr="004558EF">
        <w:rPr>
          <w:lang w:val="en-US"/>
        </w:rPr>
        <w:t>]</w:t>
      </w:r>
    </w:p>
    <w:p w:rsidR="008D4A4E" w:rsidRPr="00B650C5" w:rsidRDefault="008D4A4E" w:rsidP="00B650C5">
      <w:pPr>
        <w:rPr>
          <w:lang w:val="en-US"/>
        </w:rPr>
      </w:pPr>
      <w:r w:rsidRPr="00B67D73">
        <w:rPr>
          <w:b/>
          <w:lang w:val="en-US"/>
        </w:rPr>
        <w:t>Ministry of Agriculture</w:t>
      </w:r>
      <w:r>
        <w:rPr>
          <w:lang w:val="en-US"/>
        </w:rPr>
        <w:t>, Austria:</w:t>
      </w:r>
      <w:r w:rsidRPr="00B650C5">
        <w:rPr>
          <w:lang w:val="en-US"/>
        </w:rPr>
        <w:t xml:space="preserve"> Statistics: </w:t>
      </w:r>
      <w:r>
        <w:rPr>
          <w:lang w:val="en-US"/>
        </w:rPr>
        <w:t xml:space="preserve">available online at: </w:t>
      </w:r>
      <w:r w:rsidRPr="00B650C5">
        <w:rPr>
          <w:lang w:val="en-US"/>
        </w:rPr>
        <w:t>http://www.agrarnet.info/?id=2500%2C%2C900200%2C%2CeF9LRVlXT1JEX0FbMF09MTIw [</w:t>
      </w:r>
      <w:r>
        <w:rPr>
          <w:lang w:val="en-US"/>
        </w:rPr>
        <w:t xml:space="preserve">cit. </w:t>
      </w:r>
      <w:r w:rsidRPr="00B650C5">
        <w:rPr>
          <w:lang w:val="en-US"/>
        </w:rPr>
        <w:t>23.05.2011]</w:t>
      </w:r>
    </w:p>
    <w:p w:rsidR="0059776C" w:rsidRPr="004552CD" w:rsidRDefault="008D4A4E" w:rsidP="004552CD">
      <w:pPr>
        <w:rPr>
          <w:lang w:val="en-US"/>
        </w:rPr>
      </w:pPr>
      <w:r w:rsidRPr="00B67D73">
        <w:rPr>
          <w:b/>
          <w:bCs/>
          <w:lang w:val="en-US"/>
        </w:rPr>
        <w:t>MPO</w:t>
      </w:r>
      <w:r w:rsidRPr="004558EF">
        <w:rPr>
          <w:bCs/>
          <w:lang w:val="en-US"/>
        </w:rPr>
        <w:t xml:space="preserve">, Statistics, Liquid biofuels, available online at: http://www.mpo.cz/en/energy-and-raw-materials/statistics/default.html </w:t>
      </w:r>
      <w:r w:rsidRPr="004558EF">
        <w:rPr>
          <w:lang w:val="en-US"/>
        </w:rPr>
        <w:t>[cit. 13</w:t>
      </w:r>
      <w:r w:rsidRPr="004558EF">
        <w:t>-5-2011</w:t>
      </w:r>
      <w:r w:rsidRPr="004558EF">
        <w:rPr>
          <w:lang w:val="en-US"/>
        </w:rPr>
        <w:t>]</w:t>
      </w:r>
    </w:p>
    <w:p w:rsidR="009333AE" w:rsidRDefault="0059776C" w:rsidP="0059776C">
      <w:pPr>
        <w:pStyle w:val="berschrift1"/>
      </w:pPr>
      <w:bookmarkStart w:id="50" w:name="_Toc294469087"/>
      <w:r>
        <w:t>A</w:t>
      </w:r>
      <w:r w:rsidR="0078678B">
        <w:t>ppendix</w:t>
      </w:r>
      <w:bookmarkEnd w:id="50"/>
    </w:p>
    <w:p w:rsidR="0059776C" w:rsidRPr="009F53FE" w:rsidRDefault="0059776C" w:rsidP="0059776C">
      <w:pPr>
        <w:rPr>
          <w:rFonts w:cs="Arial"/>
          <w:u w:val="single"/>
          <w:lang w:val="en-US"/>
        </w:rPr>
      </w:pPr>
      <w:r w:rsidRPr="009F53FE">
        <w:rPr>
          <w:rFonts w:cs="Arial"/>
          <w:u w:val="single"/>
          <w:lang w:val="en-US"/>
        </w:rPr>
        <w:t>Legislation that covers biofuels in the Czech Republic:</w:t>
      </w:r>
    </w:p>
    <w:p w:rsidR="0059776C" w:rsidRPr="00843FEE" w:rsidRDefault="0059776C" w:rsidP="0059776C">
      <w:pPr>
        <w:rPr>
          <w:rFonts w:cs="Arial"/>
          <w:lang w:val="en-US"/>
        </w:rPr>
      </w:pPr>
    </w:p>
    <w:p w:rsidR="0059776C" w:rsidRPr="00D85944" w:rsidRDefault="0059776C" w:rsidP="004552CD">
      <w:pPr>
        <w:pStyle w:val="Listenabsatz"/>
        <w:numPr>
          <w:ilvl w:val="0"/>
          <w:numId w:val="46"/>
        </w:numPr>
        <w:spacing w:before="120" w:line="288" w:lineRule="auto"/>
        <w:rPr>
          <w:rStyle w:val="longtext"/>
          <w:rFonts w:cs="Arial"/>
          <w:color w:val="000000"/>
          <w:sz w:val="22"/>
          <w:lang w:val="en-US"/>
        </w:rPr>
      </w:pPr>
      <w:r w:rsidRPr="00D85944">
        <w:rPr>
          <w:sz w:val="22"/>
          <w:lang w:val="en-US"/>
        </w:rPr>
        <w:t xml:space="preserve">Decree of </w:t>
      </w:r>
      <w:r w:rsidRPr="00D85944">
        <w:rPr>
          <w:rStyle w:val="longtext"/>
          <w:rFonts w:cs="Arial"/>
          <w:color w:val="000000"/>
          <w:sz w:val="22"/>
          <w:shd w:val="clear" w:color="auto" w:fill="FFFFFF"/>
          <w:lang w:val="en-US"/>
        </w:rPr>
        <w:t xml:space="preserve">Ministry of Industry and Trade </w:t>
      </w:r>
      <w:r w:rsidRPr="00D85944">
        <w:rPr>
          <w:sz w:val="22"/>
          <w:lang w:val="en-US"/>
        </w:rPr>
        <w:t xml:space="preserve">No. </w:t>
      </w:r>
      <w:r w:rsidRPr="00D85944">
        <w:rPr>
          <w:b/>
          <w:sz w:val="22"/>
          <w:lang w:val="en-US"/>
        </w:rPr>
        <w:t>227/2001 Coll</w:t>
      </w:r>
      <w:r w:rsidRPr="00D85944">
        <w:rPr>
          <w:sz w:val="22"/>
          <w:lang w:val="en-US"/>
        </w:rPr>
        <w:t xml:space="preserve">. of </w:t>
      </w:r>
      <w:r w:rsidRPr="00D85944">
        <w:rPr>
          <w:rStyle w:val="longtext"/>
          <w:rFonts w:cs="Arial"/>
          <w:color w:val="000000"/>
          <w:sz w:val="22"/>
          <w:shd w:val="clear" w:color="auto" w:fill="FFFFFF"/>
          <w:lang w:val="en-US"/>
        </w:rPr>
        <w:t xml:space="preserve">22 June 2001 laying down requirements for fuel to operate vehicles on the road and way of monitoring their quality (Source: State Gazette Year 2001, No. 84, dated June 29, 2001). </w:t>
      </w:r>
    </w:p>
    <w:p w:rsidR="0059776C" w:rsidRPr="00D85944" w:rsidRDefault="0059776C" w:rsidP="004552CD">
      <w:pPr>
        <w:pStyle w:val="Listenabsatz"/>
        <w:numPr>
          <w:ilvl w:val="0"/>
          <w:numId w:val="46"/>
        </w:numPr>
        <w:spacing w:before="120" w:line="288" w:lineRule="auto"/>
        <w:rPr>
          <w:rStyle w:val="longtext"/>
          <w:rFonts w:cs="Arial"/>
          <w:color w:val="000000"/>
          <w:sz w:val="22"/>
          <w:shd w:val="clear" w:color="auto" w:fill="FFFFFF"/>
          <w:lang w:val="en-US"/>
        </w:rPr>
      </w:pPr>
      <w:r w:rsidRPr="00D85944">
        <w:rPr>
          <w:rStyle w:val="longtext"/>
          <w:rFonts w:cs="Arial"/>
          <w:color w:val="000000"/>
          <w:sz w:val="22"/>
          <w:shd w:val="clear" w:color="auto" w:fill="FFFFFF"/>
          <w:lang w:val="en-US"/>
        </w:rPr>
        <w:t xml:space="preserve">Decree of Ministry of Environment No. </w:t>
      </w:r>
      <w:r w:rsidRPr="00D85944">
        <w:rPr>
          <w:rStyle w:val="longtext"/>
          <w:rFonts w:cs="Arial"/>
          <w:b/>
          <w:color w:val="000000"/>
          <w:sz w:val="22"/>
          <w:shd w:val="clear" w:color="auto" w:fill="FFFFFF"/>
          <w:lang w:val="en-US"/>
        </w:rPr>
        <w:t>482/2005 Coll</w:t>
      </w:r>
      <w:r w:rsidRPr="00D85944">
        <w:rPr>
          <w:rStyle w:val="longtext"/>
          <w:rFonts w:cs="Arial"/>
          <w:color w:val="000000"/>
          <w:sz w:val="22"/>
          <w:shd w:val="clear" w:color="auto" w:fill="FFFFFF"/>
          <w:lang w:val="en-US"/>
        </w:rPr>
        <w:t xml:space="preserve">. of 2 December 2005 on determining the types, uses and parameters of biomass for the promotion of electricity from biomass (Source: State Gazette Year 2005, No. 168, dated 13.12.2005). </w:t>
      </w:r>
    </w:p>
    <w:p w:rsidR="0059776C" w:rsidRPr="00D85944" w:rsidRDefault="0059776C" w:rsidP="004552CD">
      <w:pPr>
        <w:pStyle w:val="Listenabsatz"/>
        <w:numPr>
          <w:ilvl w:val="0"/>
          <w:numId w:val="46"/>
        </w:numPr>
        <w:spacing w:before="120" w:line="288" w:lineRule="auto"/>
        <w:rPr>
          <w:rStyle w:val="longtext"/>
          <w:rFonts w:cs="Arial"/>
          <w:color w:val="000000"/>
          <w:sz w:val="22"/>
          <w:shd w:val="clear" w:color="auto" w:fill="FFFFFF"/>
          <w:lang w:val="en-US"/>
        </w:rPr>
      </w:pPr>
      <w:r w:rsidRPr="00D85944">
        <w:rPr>
          <w:rStyle w:val="longtext"/>
          <w:rFonts w:cs="Arial"/>
          <w:color w:val="000000"/>
          <w:sz w:val="22"/>
          <w:shd w:val="clear" w:color="auto" w:fill="FFFFFF"/>
          <w:lang w:val="en-US"/>
        </w:rPr>
        <w:t>Decree of Ministry of Environment No</w:t>
      </w:r>
      <w:r w:rsidRPr="00D85944">
        <w:rPr>
          <w:rStyle w:val="longtext"/>
          <w:rFonts w:cs="Arial"/>
          <w:b/>
          <w:color w:val="000000"/>
          <w:sz w:val="22"/>
          <w:shd w:val="clear" w:color="auto" w:fill="FFFFFF"/>
          <w:lang w:val="en-US"/>
        </w:rPr>
        <w:t>. 5/2007</w:t>
      </w:r>
      <w:r w:rsidRPr="00D85944">
        <w:rPr>
          <w:rStyle w:val="longtext"/>
          <w:rFonts w:cs="Arial"/>
          <w:color w:val="000000"/>
          <w:sz w:val="22"/>
          <w:shd w:val="clear" w:color="auto" w:fill="FFFFFF"/>
          <w:lang w:val="en-US"/>
        </w:rPr>
        <w:t xml:space="preserve"> </w:t>
      </w:r>
      <w:r w:rsidRPr="00D85944">
        <w:rPr>
          <w:rStyle w:val="longtext"/>
          <w:rFonts w:cs="Arial"/>
          <w:b/>
          <w:color w:val="000000"/>
          <w:sz w:val="22"/>
          <w:shd w:val="clear" w:color="auto" w:fill="FFFFFF"/>
          <w:lang w:val="en-US"/>
        </w:rPr>
        <w:t>Coll</w:t>
      </w:r>
      <w:r w:rsidRPr="00D85944">
        <w:rPr>
          <w:rStyle w:val="longtext"/>
          <w:rFonts w:cs="Arial"/>
          <w:color w:val="000000"/>
          <w:sz w:val="22"/>
          <w:shd w:val="clear" w:color="auto" w:fill="FFFFFF"/>
          <w:lang w:val="en-US"/>
        </w:rPr>
        <w:t xml:space="preserve">. of 21 December 2006 amending the Decree No. 482/2005 Coll. determining the types, uses and parameters of biomass for the promotion of electricity from biomass (Source: State Gazette Year 2007, No. 2, dated May 1, 2007). </w:t>
      </w:r>
    </w:p>
    <w:p w:rsidR="00D85944" w:rsidRDefault="0059776C" w:rsidP="004552CD">
      <w:pPr>
        <w:pStyle w:val="Listenabsatz"/>
        <w:numPr>
          <w:ilvl w:val="0"/>
          <w:numId w:val="46"/>
        </w:numPr>
        <w:spacing w:before="120"/>
        <w:rPr>
          <w:rStyle w:val="longtext"/>
          <w:rFonts w:cs="Arial"/>
          <w:color w:val="000000"/>
          <w:sz w:val="22"/>
          <w:shd w:val="clear" w:color="auto" w:fill="FFFFFF"/>
          <w:lang w:val="en-US"/>
        </w:rPr>
      </w:pPr>
      <w:r w:rsidRPr="00D85944">
        <w:rPr>
          <w:rStyle w:val="longtext"/>
          <w:rFonts w:cs="Arial"/>
          <w:color w:val="000000"/>
          <w:sz w:val="22"/>
          <w:shd w:val="clear" w:color="auto" w:fill="FFFFFF"/>
          <w:lang w:val="en-US"/>
        </w:rPr>
        <w:t xml:space="preserve">Act No. </w:t>
      </w:r>
      <w:r w:rsidRPr="00D85944">
        <w:rPr>
          <w:rStyle w:val="longtext"/>
          <w:rFonts w:cs="Arial"/>
          <w:b/>
          <w:color w:val="000000"/>
          <w:sz w:val="22"/>
          <w:shd w:val="clear" w:color="auto" w:fill="FFFFFF"/>
          <w:lang w:val="en-US"/>
        </w:rPr>
        <w:t>180/2007 Coll.</w:t>
      </w:r>
      <w:r w:rsidRPr="00D85944">
        <w:rPr>
          <w:rStyle w:val="longtext"/>
          <w:rFonts w:cs="Arial"/>
          <w:color w:val="000000"/>
          <w:sz w:val="22"/>
          <w:shd w:val="clear" w:color="auto" w:fill="FFFFFF"/>
          <w:lang w:val="en-US"/>
        </w:rPr>
        <w:t xml:space="preserve"> of 7 June 2007 amending the Act No. 86/2002 Coll. on air protection and amendment of some laws (the Clean Air Act), as amended (Source: State Gazette Year 2007, No. 59, dated July 12, 2007). </w:t>
      </w:r>
    </w:p>
    <w:p w:rsidR="0059776C" w:rsidRPr="00D85944" w:rsidRDefault="0059776C" w:rsidP="004552CD">
      <w:pPr>
        <w:pStyle w:val="Listenabsatz"/>
        <w:numPr>
          <w:ilvl w:val="0"/>
          <w:numId w:val="46"/>
        </w:numPr>
        <w:spacing w:before="120"/>
        <w:rPr>
          <w:rStyle w:val="longtext"/>
          <w:rFonts w:cs="Arial"/>
          <w:color w:val="000000"/>
          <w:sz w:val="22"/>
          <w:shd w:val="clear" w:color="auto" w:fill="FFFFFF"/>
          <w:lang w:val="en-US"/>
        </w:rPr>
      </w:pPr>
      <w:r w:rsidRPr="00D85944">
        <w:rPr>
          <w:rStyle w:val="longtext"/>
          <w:rFonts w:cs="Arial"/>
          <w:color w:val="000000"/>
          <w:sz w:val="22"/>
          <w:shd w:val="clear" w:color="auto" w:fill="FFFFFF"/>
          <w:lang w:val="en-US"/>
        </w:rPr>
        <w:t xml:space="preserve">Act No. </w:t>
      </w:r>
      <w:r w:rsidRPr="00D85944">
        <w:rPr>
          <w:rStyle w:val="longtext"/>
          <w:rFonts w:cs="Arial"/>
          <w:b/>
          <w:color w:val="000000"/>
          <w:sz w:val="22"/>
          <w:shd w:val="clear" w:color="auto" w:fill="FFFFFF"/>
          <w:lang w:val="en-US"/>
        </w:rPr>
        <w:t>180/2005 Coll</w:t>
      </w:r>
      <w:r w:rsidRPr="00D85944">
        <w:rPr>
          <w:rStyle w:val="longtext"/>
          <w:rFonts w:cs="Arial"/>
          <w:color w:val="000000"/>
          <w:sz w:val="22"/>
          <w:shd w:val="clear" w:color="auto" w:fill="FFFFFF"/>
          <w:lang w:val="en-US"/>
        </w:rPr>
        <w:t>. of 31 March 2005 on the promotion of electricity from renewable energy sources and amending some laws (Act on the promotion of renewable sources), (Source: State Gazette Year 2005, No. 66 of 5. 5. 2005).</w:t>
      </w:r>
    </w:p>
    <w:p w:rsidR="00840F8A" w:rsidRPr="00840F8A" w:rsidRDefault="0059776C" w:rsidP="004552CD">
      <w:pPr>
        <w:pStyle w:val="Listenabsatz"/>
        <w:numPr>
          <w:ilvl w:val="0"/>
          <w:numId w:val="46"/>
        </w:numPr>
        <w:spacing w:before="120" w:line="288" w:lineRule="auto"/>
        <w:rPr>
          <w:rStyle w:val="longtext"/>
          <w:rFonts w:cs="Arial"/>
          <w:color w:val="000000"/>
          <w:sz w:val="22"/>
          <w:lang w:val="en-US"/>
        </w:rPr>
      </w:pPr>
      <w:r w:rsidRPr="00D85944">
        <w:rPr>
          <w:rStyle w:val="longtext"/>
          <w:rFonts w:cs="Arial"/>
          <w:color w:val="000000"/>
          <w:sz w:val="22"/>
          <w:shd w:val="clear" w:color="auto" w:fill="FFFFFF"/>
          <w:lang w:val="en-US"/>
        </w:rPr>
        <w:t xml:space="preserve">Government Regulation No. </w:t>
      </w:r>
      <w:r w:rsidRPr="00D85944">
        <w:rPr>
          <w:rStyle w:val="longtext"/>
          <w:rFonts w:cs="Arial"/>
          <w:b/>
          <w:color w:val="000000"/>
          <w:sz w:val="22"/>
          <w:shd w:val="clear" w:color="auto" w:fill="FFFFFF"/>
          <w:lang w:val="en-US"/>
        </w:rPr>
        <w:t>333/2007 Coll</w:t>
      </w:r>
      <w:r w:rsidRPr="00D85944">
        <w:rPr>
          <w:rStyle w:val="longtext"/>
          <w:rFonts w:cs="Arial"/>
          <w:color w:val="000000"/>
          <w:sz w:val="22"/>
          <w:shd w:val="clear" w:color="auto" w:fill="FFFFFF"/>
          <w:lang w:val="en-US"/>
        </w:rPr>
        <w:t xml:space="preserve">. of 12 December 2007 amending Decree No. 80/2007 Coll. setting certain conditions for payment subsidies for energy crops (Source: State Gazette Year 2007, No. 106, dated December 14, 2007). </w:t>
      </w:r>
    </w:p>
    <w:p w:rsidR="00840F8A" w:rsidRPr="00840F8A" w:rsidRDefault="0059776C" w:rsidP="004552CD">
      <w:pPr>
        <w:pStyle w:val="Listenabsatz"/>
        <w:numPr>
          <w:ilvl w:val="0"/>
          <w:numId w:val="46"/>
        </w:numPr>
        <w:spacing w:before="120" w:line="288" w:lineRule="auto"/>
        <w:rPr>
          <w:rStyle w:val="longtext"/>
          <w:rFonts w:cs="Arial"/>
          <w:color w:val="000000"/>
          <w:sz w:val="22"/>
          <w:lang w:val="en-US"/>
        </w:rPr>
      </w:pPr>
      <w:r w:rsidRPr="00D85944">
        <w:rPr>
          <w:rStyle w:val="longtext"/>
          <w:rFonts w:cs="Arial"/>
          <w:color w:val="000000"/>
          <w:sz w:val="22"/>
          <w:shd w:val="clear" w:color="auto" w:fill="FFFFFF"/>
          <w:lang w:val="en-US"/>
        </w:rPr>
        <w:t xml:space="preserve">Act No. </w:t>
      </w:r>
      <w:r w:rsidRPr="00D85944">
        <w:rPr>
          <w:rStyle w:val="longtext"/>
          <w:rFonts w:cs="Arial"/>
          <w:b/>
          <w:color w:val="000000"/>
          <w:sz w:val="22"/>
          <w:shd w:val="clear" w:color="auto" w:fill="FFFFFF"/>
          <w:lang w:val="en-US"/>
        </w:rPr>
        <w:t>172/2010 Coll</w:t>
      </w:r>
      <w:r w:rsidRPr="00D85944">
        <w:rPr>
          <w:rStyle w:val="longtext"/>
          <w:rFonts w:cs="Arial"/>
          <w:color w:val="000000"/>
          <w:sz w:val="22"/>
          <w:shd w:val="clear" w:color="auto" w:fill="FFFFFF"/>
          <w:lang w:val="en-US"/>
        </w:rPr>
        <w:t xml:space="preserve">. of 29 April 2010 amending Act No. 86/2002 Coll. on air protection and amendment of some laws (the Clean Air Act), as amended (Source: State Gazette Year 2010, No. 60, dated May 31, 2010). </w:t>
      </w:r>
    </w:p>
    <w:p w:rsidR="00840F8A" w:rsidRDefault="0059776C" w:rsidP="004552CD">
      <w:pPr>
        <w:pStyle w:val="Listenabsatz"/>
        <w:numPr>
          <w:ilvl w:val="0"/>
          <w:numId w:val="46"/>
        </w:numPr>
        <w:spacing w:before="120" w:line="288" w:lineRule="auto"/>
        <w:rPr>
          <w:rStyle w:val="longtext"/>
          <w:rFonts w:cs="Arial"/>
          <w:color w:val="000000"/>
          <w:sz w:val="22"/>
          <w:lang w:val="en-US"/>
        </w:rPr>
      </w:pPr>
      <w:r w:rsidRPr="00840F8A">
        <w:rPr>
          <w:sz w:val="22"/>
          <w:lang w:val="en-US"/>
        </w:rPr>
        <w:lastRenderedPageBreak/>
        <w:t xml:space="preserve">Decree of </w:t>
      </w:r>
      <w:r w:rsidRPr="00840F8A">
        <w:rPr>
          <w:rStyle w:val="longtext"/>
          <w:rFonts w:cs="Arial"/>
          <w:color w:val="000000"/>
          <w:sz w:val="22"/>
          <w:shd w:val="clear" w:color="auto" w:fill="FFFFFF"/>
          <w:lang w:val="en-US"/>
        </w:rPr>
        <w:t xml:space="preserve">Ministry of Industry and Trade </w:t>
      </w:r>
      <w:r w:rsidRPr="00840F8A">
        <w:rPr>
          <w:sz w:val="22"/>
          <w:lang w:val="en-US"/>
        </w:rPr>
        <w:t xml:space="preserve">No. </w:t>
      </w:r>
      <w:r w:rsidRPr="00840F8A">
        <w:rPr>
          <w:b/>
          <w:sz w:val="22"/>
          <w:lang w:val="en-US"/>
        </w:rPr>
        <w:t>48/2003 Coll</w:t>
      </w:r>
      <w:r w:rsidRPr="00840F8A">
        <w:rPr>
          <w:sz w:val="22"/>
          <w:lang w:val="en-US"/>
        </w:rPr>
        <w:t>. of</w:t>
      </w:r>
      <w:r w:rsidRPr="00840F8A">
        <w:rPr>
          <w:rStyle w:val="longtext"/>
          <w:rFonts w:cs="Arial"/>
          <w:color w:val="000000"/>
          <w:sz w:val="22"/>
          <w:shd w:val="clear" w:color="auto" w:fill="FFFFFF"/>
          <w:lang w:val="en-US"/>
        </w:rPr>
        <w:t xml:space="preserve"> 11 </w:t>
      </w:r>
      <w:r w:rsidRPr="00840F8A">
        <w:rPr>
          <w:rStyle w:val="longtext"/>
          <w:rFonts w:cs="Arial"/>
          <w:color w:val="000000"/>
          <w:sz w:val="22"/>
          <w:lang w:val="en-US"/>
        </w:rPr>
        <w:t xml:space="preserve">February 2003 amending Decree No. 227/2001 Coll. laying down requirements for fuel to operate vehicles on the road and way of monitoring their quality (Source: State Gazette Year 2003, No. 18, dated 28.2.2003). </w:t>
      </w:r>
    </w:p>
    <w:p w:rsidR="0059776C" w:rsidRPr="00840F8A" w:rsidRDefault="0059776C" w:rsidP="004552CD">
      <w:pPr>
        <w:pStyle w:val="Listenabsatz"/>
        <w:numPr>
          <w:ilvl w:val="0"/>
          <w:numId w:val="46"/>
        </w:numPr>
        <w:spacing w:before="120" w:line="288" w:lineRule="auto"/>
        <w:rPr>
          <w:rStyle w:val="longtext"/>
          <w:rFonts w:cs="Arial"/>
          <w:color w:val="000000"/>
          <w:sz w:val="22"/>
          <w:lang w:val="en-US"/>
        </w:rPr>
      </w:pPr>
      <w:r w:rsidRPr="00840F8A">
        <w:rPr>
          <w:sz w:val="22"/>
          <w:lang w:val="en-US"/>
        </w:rPr>
        <w:t xml:space="preserve">Decree of </w:t>
      </w:r>
      <w:r w:rsidRPr="00840F8A">
        <w:rPr>
          <w:rStyle w:val="longtext"/>
          <w:rFonts w:cs="Arial"/>
          <w:color w:val="000000"/>
          <w:sz w:val="22"/>
          <w:shd w:val="clear" w:color="auto" w:fill="FFFFFF"/>
          <w:lang w:val="en-US"/>
        </w:rPr>
        <w:t xml:space="preserve">Ministry of Industry and Trade </w:t>
      </w:r>
      <w:r w:rsidRPr="00840F8A">
        <w:rPr>
          <w:sz w:val="22"/>
          <w:lang w:val="en-US"/>
        </w:rPr>
        <w:t xml:space="preserve">No. </w:t>
      </w:r>
      <w:r w:rsidRPr="00840F8A">
        <w:rPr>
          <w:b/>
          <w:sz w:val="22"/>
          <w:lang w:val="en-US"/>
        </w:rPr>
        <w:t>133/2010 Coll</w:t>
      </w:r>
      <w:r w:rsidRPr="00840F8A">
        <w:rPr>
          <w:sz w:val="22"/>
          <w:lang w:val="en-US"/>
        </w:rPr>
        <w:t>. of</w:t>
      </w:r>
      <w:r w:rsidRPr="00840F8A">
        <w:rPr>
          <w:rStyle w:val="longtext"/>
          <w:rFonts w:cs="Arial"/>
          <w:color w:val="000000"/>
          <w:sz w:val="22"/>
          <w:shd w:val="clear" w:color="auto" w:fill="FFFFFF"/>
          <w:lang w:val="en-US"/>
        </w:rPr>
        <w:t xml:space="preserve"> 5 May 2010 on requirements for fuel, a method of monitoring the composition and quality of fuels and their registration (Decree on the quality of fuel and registration), (</w:t>
      </w:r>
      <w:r w:rsidRPr="00840F8A">
        <w:rPr>
          <w:rStyle w:val="longtext"/>
          <w:rFonts w:cs="Arial"/>
          <w:color w:val="000000"/>
          <w:sz w:val="22"/>
          <w:lang w:val="en-US"/>
        </w:rPr>
        <w:t xml:space="preserve">Source: State Gazette Year 2010, No. 48, dated May 13, 2010). </w:t>
      </w:r>
    </w:p>
    <w:p w:rsidR="00840F8A" w:rsidRPr="00840F8A" w:rsidRDefault="0059776C" w:rsidP="004552CD">
      <w:pPr>
        <w:pStyle w:val="Listenabsatz"/>
        <w:numPr>
          <w:ilvl w:val="0"/>
          <w:numId w:val="46"/>
        </w:numPr>
        <w:spacing w:before="120" w:line="288" w:lineRule="auto"/>
        <w:rPr>
          <w:rStyle w:val="longtext"/>
          <w:bCs/>
          <w:lang w:val="en-US"/>
        </w:rPr>
      </w:pPr>
      <w:r w:rsidRPr="00840F8A">
        <w:rPr>
          <w:rStyle w:val="longtext"/>
          <w:rFonts w:cs="Arial"/>
          <w:color w:val="000000"/>
          <w:sz w:val="22"/>
          <w:shd w:val="clear" w:color="auto" w:fill="FFFFFF"/>
          <w:lang w:val="en-US"/>
        </w:rPr>
        <w:t xml:space="preserve">Air Protection Act No. </w:t>
      </w:r>
      <w:r w:rsidRPr="00840F8A">
        <w:rPr>
          <w:rStyle w:val="longtext"/>
          <w:rFonts w:cs="Arial"/>
          <w:b/>
          <w:color w:val="000000"/>
          <w:sz w:val="22"/>
          <w:shd w:val="clear" w:color="auto" w:fill="FFFFFF"/>
          <w:lang w:val="en-US"/>
        </w:rPr>
        <w:t>472/2005 Coll</w:t>
      </w:r>
      <w:r w:rsidRPr="00840F8A">
        <w:rPr>
          <w:rStyle w:val="longtext"/>
          <w:rFonts w:cs="Arial"/>
          <w:color w:val="000000"/>
          <w:sz w:val="22"/>
          <w:shd w:val="clear" w:color="auto" w:fill="FFFFFF"/>
          <w:lang w:val="en-US"/>
        </w:rPr>
        <w:t xml:space="preserve">.  </w:t>
      </w:r>
      <w:r w:rsidRPr="00840F8A">
        <w:rPr>
          <w:sz w:val="22"/>
          <w:shd w:val="clear" w:color="auto" w:fill="FFFFFF"/>
          <w:lang w:val="en-US"/>
        </w:rPr>
        <w:br/>
      </w:r>
      <w:r w:rsidRPr="00840F8A">
        <w:rPr>
          <w:rStyle w:val="longtext"/>
          <w:rFonts w:cs="Arial"/>
          <w:color w:val="000000"/>
          <w:sz w:val="22"/>
          <w:lang w:val="en-US"/>
        </w:rPr>
        <w:t xml:space="preserve">Prime Minister announces the full wording of the Act No. 86/2002 Coll., on the air and amending some laws (the Clean Air Act), as subsequently amended by Act No. 521/2002 Coll., Act No. 92/2004 Coll </w:t>
      </w:r>
      <w:r w:rsidRPr="00840F8A">
        <w:rPr>
          <w:rStyle w:val="longtext"/>
          <w:rFonts w:cs="Arial"/>
          <w:color w:val="000000"/>
          <w:sz w:val="22"/>
          <w:shd w:val="clear" w:color="auto" w:fill="FFFFFF"/>
          <w:lang w:val="en-US"/>
        </w:rPr>
        <w:t xml:space="preserve">., Act No. 186/2004 Coll., Act No. 695/2004 Coll., Act No. 180/2005 Coll. </w:t>
      </w:r>
      <w:r w:rsidRPr="00840F8A">
        <w:rPr>
          <w:rStyle w:val="longtext"/>
          <w:rFonts w:cs="Arial"/>
          <w:color w:val="000000"/>
          <w:sz w:val="22"/>
          <w:lang w:val="en-US"/>
        </w:rPr>
        <w:t>and Act No. 385/2005 Coll. (</w:t>
      </w:r>
      <w:r w:rsidRPr="00840F8A">
        <w:rPr>
          <w:rStyle w:val="longtext"/>
          <w:rFonts w:cs="Arial"/>
          <w:color w:val="000000"/>
          <w:sz w:val="22"/>
          <w:shd w:val="clear" w:color="auto" w:fill="FFFFFF"/>
          <w:lang w:val="en-US"/>
        </w:rPr>
        <w:t xml:space="preserve">Source: State Gazette Year 2005, No. 165, dated May 12, 2005). </w:t>
      </w:r>
    </w:p>
    <w:p w:rsidR="0059776C" w:rsidRPr="00840F8A" w:rsidRDefault="0059776C" w:rsidP="004552CD">
      <w:pPr>
        <w:pStyle w:val="Listenabsatz"/>
        <w:numPr>
          <w:ilvl w:val="0"/>
          <w:numId w:val="46"/>
        </w:numPr>
        <w:spacing w:before="120" w:line="288" w:lineRule="auto"/>
        <w:rPr>
          <w:bCs/>
          <w:lang w:val="en-US"/>
        </w:rPr>
      </w:pPr>
      <w:r w:rsidRPr="00840F8A">
        <w:rPr>
          <w:rStyle w:val="longtext"/>
          <w:rFonts w:cs="Arial"/>
          <w:color w:val="000000"/>
          <w:sz w:val="22"/>
          <w:shd w:val="clear" w:color="auto" w:fill="FFFFFF"/>
          <w:lang w:val="en-US"/>
        </w:rPr>
        <w:t xml:space="preserve">Act No. </w:t>
      </w:r>
      <w:r w:rsidRPr="00840F8A">
        <w:rPr>
          <w:rStyle w:val="longtext"/>
          <w:rFonts w:cs="Arial"/>
          <w:b/>
          <w:color w:val="000000"/>
          <w:sz w:val="22"/>
          <w:shd w:val="clear" w:color="auto" w:fill="FFFFFF"/>
          <w:lang w:val="en-US"/>
        </w:rPr>
        <w:t>37/2008 Coll</w:t>
      </w:r>
      <w:r w:rsidRPr="00840F8A">
        <w:rPr>
          <w:rStyle w:val="longtext"/>
          <w:rFonts w:cs="Arial"/>
          <w:color w:val="000000"/>
          <w:sz w:val="22"/>
          <w:shd w:val="clear" w:color="auto" w:fill="FFFFFF"/>
          <w:lang w:val="en-US"/>
        </w:rPr>
        <w:t xml:space="preserve">. of </w:t>
      </w:r>
      <w:r w:rsidRPr="00840F8A">
        <w:rPr>
          <w:rStyle w:val="longtext"/>
          <w:rFonts w:cs="Arial"/>
          <w:color w:val="000000"/>
          <w:sz w:val="22"/>
          <w:lang w:val="en-US"/>
        </w:rPr>
        <w:t xml:space="preserve">17 </w:t>
      </w:r>
      <w:r w:rsidRPr="00840F8A">
        <w:rPr>
          <w:rStyle w:val="longtext"/>
          <w:rFonts w:cs="Arial"/>
          <w:color w:val="000000"/>
          <w:sz w:val="22"/>
          <w:shd w:val="clear" w:color="auto" w:fill="FFFFFF"/>
          <w:lang w:val="en-US"/>
        </w:rPr>
        <w:t xml:space="preserve">January 2008 amending Act No. 353/2003 Coll. on excise taxes, as amended, Act No. 86/2002 Coll. on air protection and amendment of some laws (the Clean Air Act), as amended, and Act No. 61/1997 Coll. on alcohol and on amending and supplementing Act No. 455/1991 Coll. Trades (Trade Act), as amended, and the Czech National Council No. 587 / </w:t>
      </w:r>
      <w:r w:rsidRPr="00840F8A">
        <w:rPr>
          <w:rStyle w:val="longtext"/>
          <w:rFonts w:cs="Arial"/>
          <w:color w:val="000000"/>
          <w:sz w:val="22"/>
          <w:lang w:val="en-US"/>
        </w:rPr>
        <w:t>1992 Coll. on excise taxes, as amended (the Act on alcohol), as amended, (</w:t>
      </w:r>
      <w:r w:rsidRPr="00840F8A">
        <w:rPr>
          <w:rStyle w:val="longtext"/>
          <w:rFonts w:cs="Arial"/>
          <w:color w:val="000000"/>
          <w:sz w:val="22"/>
          <w:shd w:val="clear" w:color="auto" w:fill="FFFFFF"/>
          <w:lang w:val="en-US"/>
        </w:rPr>
        <w:t xml:space="preserve">Source: State Gazette Year 2008, No. 11, dated February 12, 2008). </w:t>
      </w:r>
      <w:r w:rsidRPr="00840F8A">
        <w:rPr>
          <w:sz w:val="22"/>
          <w:shd w:val="clear" w:color="auto" w:fill="FFFFFF"/>
          <w:lang w:val="en-US"/>
        </w:rPr>
        <w:br/>
      </w:r>
    </w:p>
    <w:p w:rsidR="0059776C" w:rsidRDefault="0059776C" w:rsidP="004552CD">
      <w:pPr>
        <w:rPr>
          <w:lang w:val="en-US"/>
        </w:rPr>
      </w:pPr>
      <w:r w:rsidRPr="00843FEE">
        <w:rPr>
          <w:lang w:val="en-US"/>
        </w:rPr>
        <w:t xml:space="preserve">List of energy plants that are subjects to subsidies payment according to the </w:t>
      </w:r>
      <w:r w:rsidRPr="00843FEE">
        <w:rPr>
          <w:rStyle w:val="longtext"/>
          <w:rFonts w:cs="Arial"/>
          <w:color w:val="000000"/>
          <w:shd w:val="clear" w:color="auto" w:fill="FFFFFF"/>
          <w:lang w:val="en-US"/>
        </w:rPr>
        <w:t xml:space="preserve">Government Regulation No. </w:t>
      </w:r>
      <w:r w:rsidRPr="00843FEE">
        <w:rPr>
          <w:rStyle w:val="longtext"/>
          <w:rFonts w:cs="Arial"/>
          <w:b/>
          <w:color w:val="000000"/>
          <w:shd w:val="clear" w:color="auto" w:fill="FFFFFF"/>
          <w:lang w:val="en-US"/>
        </w:rPr>
        <w:t>333/2007 Coll</w:t>
      </w:r>
      <w:r w:rsidRPr="00843FEE">
        <w:rPr>
          <w:rStyle w:val="longtext"/>
          <w:rFonts w:cs="Arial"/>
          <w:color w:val="000000"/>
          <w:shd w:val="clear" w:color="auto" w:fill="FFFFFF"/>
          <w:lang w:val="en-US"/>
        </w:rPr>
        <w:t>.</w:t>
      </w:r>
      <w:r w:rsidRPr="00843FEE">
        <w:rPr>
          <w:lang w:val="en-US"/>
        </w:rPr>
        <w:t xml:space="preserve"> </w:t>
      </w:r>
      <w:r w:rsidRPr="00843FEE">
        <w:rPr>
          <w:rStyle w:val="longtext"/>
          <w:rFonts w:cs="Arial"/>
          <w:color w:val="000000"/>
          <w:shd w:val="clear" w:color="auto" w:fill="FFFFFF"/>
          <w:lang w:val="en-US"/>
        </w:rPr>
        <w:t xml:space="preserve">amending Decree No. 80/2007 Coll. </w:t>
      </w:r>
      <w:r w:rsidRPr="00843FEE">
        <w:rPr>
          <w:lang w:val="en-US"/>
        </w:rPr>
        <w:t xml:space="preserve">§ 3 par.5: </w:t>
      </w:r>
    </w:p>
    <w:p w:rsidR="0059776C" w:rsidRPr="00843FEE" w:rsidRDefault="0059776C" w:rsidP="0059776C">
      <w:pPr>
        <w:rPr>
          <w:rFonts w:cs="Arial"/>
          <w:lang w:val="en-US"/>
        </w:rPr>
      </w:pPr>
    </w:p>
    <w:tbl>
      <w:tblPr>
        <w:tblStyle w:val="HelleListe-Akzent3"/>
        <w:tblW w:w="9923" w:type="dxa"/>
        <w:tblInd w:w="-176" w:type="dxa"/>
        <w:tblLook w:val="01E0"/>
      </w:tblPr>
      <w:tblGrid>
        <w:gridCol w:w="3246"/>
        <w:gridCol w:w="3071"/>
        <w:gridCol w:w="3606"/>
      </w:tblGrid>
      <w:tr w:rsidR="0059776C" w:rsidRPr="0059776C" w:rsidTr="00D85944">
        <w:trPr>
          <w:cnfStyle w:val="100000000000"/>
        </w:trPr>
        <w:tc>
          <w:tcPr>
            <w:cnfStyle w:val="001000000000"/>
            <w:tcW w:w="3246" w:type="dxa"/>
          </w:tcPr>
          <w:p w:rsidR="0059776C" w:rsidRPr="0059776C" w:rsidRDefault="0059776C" w:rsidP="009C7100">
            <w:pPr>
              <w:autoSpaceDE w:val="0"/>
              <w:autoSpaceDN w:val="0"/>
              <w:adjustRightInd w:val="0"/>
              <w:jc w:val="left"/>
              <w:rPr>
                <w:rFonts w:cs="Arial"/>
                <w:bCs w:val="0"/>
                <w:color w:val="auto"/>
              </w:rPr>
            </w:pPr>
            <w:r w:rsidRPr="0059776C">
              <w:rPr>
                <w:rFonts w:cs="Arial"/>
                <w:color w:val="auto"/>
              </w:rPr>
              <w:t>Name of plant in Latin</w:t>
            </w:r>
          </w:p>
        </w:tc>
        <w:tc>
          <w:tcPr>
            <w:cnfStyle w:val="000010000000"/>
            <w:tcW w:w="3071" w:type="dxa"/>
          </w:tcPr>
          <w:p w:rsidR="0059776C" w:rsidRPr="0059776C" w:rsidRDefault="0059776C" w:rsidP="009C7100">
            <w:pPr>
              <w:autoSpaceDE w:val="0"/>
              <w:autoSpaceDN w:val="0"/>
              <w:adjustRightInd w:val="0"/>
              <w:jc w:val="left"/>
              <w:rPr>
                <w:rFonts w:cs="Arial"/>
                <w:bCs w:val="0"/>
                <w:color w:val="auto"/>
              </w:rPr>
            </w:pPr>
            <w:r w:rsidRPr="0059776C">
              <w:rPr>
                <w:rFonts w:cs="Arial"/>
                <w:color w:val="auto"/>
              </w:rPr>
              <w:t>Name of plant in English</w:t>
            </w:r>
          </w:p>
        </w:tc>
        <w:tc>
          <w:tcPr>
            <w:cnfStyle w:val="000100000000"/>
            <w:tcW w:w="3606" w:type="dxa"/>
          </w:tcPr>
          <w:p w:rsidR="0059776C" w:rsidRPr="0059776C" w:rsidRDefault="0059776C" w:rsidP="009C7100">
            <w:pPr>
              <w:autoSpaceDE w:val="0"/>
              <w:autoSpaceDN w:val="0"/>
              <w:adjustRightInd w:val="0"/>
              <w:jc w:val="left"/>
              <w:rPr>
                <w:rFonts w:cs="Arial"/>
                <w:bCs w:val="0"/>
                <w:color w:val="auto"/>
              </w:rPr>
            </w:pPr>
            <w:r w:rsidRPr="0059776C">
              <w:rPr>
                <w:rFonts w:cs="Arial"/>
                <w:color w:val="auto"/>
              </w:rPr>
              <w:t>Name of plant in Czech</w:t>
            </w:r>
          </w:p>
        </w:tc>
      </w:tr>
      <w:tr w:rsidR="0059776C" w:rsidRPr="00843FEE" w:rsidTr="00D85944">
        <w:trPr>
          <w:cnfStyle w:val="000000100000"/>
        </w:trPr>
        <w:tc>
          <w:tcPr>
            <w:cnfStyle w:val="001000000000"/>
            <w:tcW w:w="3246" w:type="dxa"/>
          </w:tcPr>
          <w:p w:rsidR="0059776C" w:rsidRPr="00843FEE" w:rsidRDefault="0059776C" w:rsidP="009C7100">
            <w:pPr>
              <w:jc w:val="left"/>
              <w:rPr>
                <w:rFonts w:cs="Arial"/>
                <w:b w:val="0"/>
                <w:bCs w:val="0"/>
              </w:rPr>
            </w:pPr>
            <w:r w:rsidRPr="00843FEE">
              <w:rPr>
                <w:rFonts w:cs="Arial"/>
              </w:rPr>
              <w:t>Amaranthus</w:t>
            </w:r>
          </w:p>
        </w:tc>
        <w:tc>
          <w:tcPr>
            <w:cnfStyle w:val="000010000000"/>
            <w:tcW w:w="3071" w:type="dxa"/>
          </w:tcPr>
          <w:p w:rsidR="0059776C" w:rsidRPr="00843FEE" w:rsidRDefault="0059776C" w:rsidP="009C7100">
            <w:pPr>
              <w:jc w:val="left"/>
              <w:textAlignment w:val="top"/>
              <w:rPr>
                <w:rFonts w:cs="Arial"/>
                <w:color w:val="888888"/>
              </w:rPr>
            </w:pPr>
            <w:r w:rsidRPr="00843FEE">
              <w:rPr>
                <w:rStyle w:val="hps"/>
                <w:rFonts w:cs="Arial"/>
                <w:color w:val="000000"/>
              </w:rPr>
              <w:t>Amaranth</w:t>
            </w:r>
          </w:p>
        </w:tc>
        <w:tc>
          <w:tcPr>
            <w:cnfStyle w:val="000100000000"/>
            <w:tcW w:w="3606" w:type="dxa"/>
          </w:tcPr>
          <w:p w:rsidR="0059776C" w:rsidRPr="00843FEE" w:rsidRDefault="0059776C" w:rsidP="009C7100">
            <w:pPr>
              <w:jc w:val="left"/>
              <w:rPr>
                <w:rFonts w:cs="Arial"/>
                <w:b w:val="0"/>
                <w:bCs w:val="0"/>
              </w:rPr>
            </w:pPr>
            <w:r w:rsidRPr="00843FEE">
              <w:rPr>
                <w:rFonts w:cs="Arial"/>
              </w:rPr>
              <w:t>Laskavec</w:t>
            </w:r>
          </w:p>
        </w:tc>
      </w:tr>
      <w:tr w:rsidR="0059776C" w:rsidRPr="00843FEE" w:rsidTr="00D85944">
        <w:tc>
          <w:tcPr>
            <w:cnfStyle w:val="001000000000"/>
            <w:tcW w:w="3246" w:type="dxa"/>
          </w:tcPr>
          <w:p w:rsidR="0059776C" w:rsidRPr="00843FEE" w:rsidRDefault="0059776C" w:rsidP="009C7100">
            <w:pPr>
              <w:jc w:val="left"/>
              <w:rPr>
                <w:rFonts w:cs="Arial"/>
                <w:b w:val="0"/>
                <w:bCs w:val="0"/>
              </w:rPr>
            </w:pPr>
            <w:r w:rsidRPr="00843FEE">
              <w:rPr>
                <w:rFonts w:cs="Arial"/>
              </w:rPr>
              <w:t>Cannabis sativa L.</w:t>
            </w:r>
          </w:p>
        </w:tc>
        <w:tc>
          <w:tcPr>
            <w:cnfStyle w:val="000010000000"/>
            <w:tcW w:w="3071" w:type="dxa"/>
          </w:tcPr>
          <w:p w:rsidR="0059776C" w:rsidRPr="00843FEE" w:rsidRDefault="0059776C" w:rsidP="009C7100">
            <w:pPr>
              <w:jc w:val="left"/>
              <w:rPr>
                <w:rFonts w:cs="Arial"/>
              </w:rPr>
            </w:pPr>
            <w:r w:rsidRPr="00843FEE">
              <w:rPr>
                <w:rFonts w:cs="Arial"/>
              </w:rPr>
              <w:t>Hemp</w:t>
            </w:r>
          </w:p>
        </w:tc>
        <w:tc>
          <w:tcPr>
            <w:cnfStyle w:val="000100000000"/>
            <w:tcW w:w="3606" w:type="dxa"/>
          </w:tcPr>
          <w:p w:rsidR="0059776C" w:rsidRPr="00843FEE" w:rsidRDefault="0059776C" w:rsidP="009C7100">
            <w:pPr>
              <w:jc w:val="left"/>
              <w:rPr>
                <w:rFonts w:cs="Arial"/>
                <w:b w:val="0"/>
                <w:bCs w:val="0"/>
              </w:rPr>
            </w:pPr>
            <w:r w:rsidRPr="00843FEE">
              <w:rPr>
                <w:rFonts w:cs="Arial"/>
              </w:rPr>
              <w:t>Konopí seté</w:t>
            </w:r>
          </w:p>
        </w:tc>
      </w:tr>
      <w:tr w:rsidR="0059776C" w:rsidRPr="00843FEE" w:rsidTr="00D85944">
        <w:trPr>
          <w:cnfStyle w:val="000000100000"/>
        </w:trPr>
        <w:tc>
          <w:tcPr>
            <w:cnfStyle w:val="001000000000"/>
            <w:tcW w:w="3246" w:type="dxa"/>
          </w:tcPr>
          <w:p w:rsidR="0059776C" w:rsidRPr="00843FEE" w:rsidRDefault="0059776C" w:rsidP="009C7100">
            <w:pPr>
              <w:jc w:val="left"/>
              <w:rPr>
                <w:rFonts w:cs="Arial"/>
                <w:b w:val="0"/>
                <w:bCs w:val="0"/>
              </w:rPr>
            </w:pPr>
            <w:r w:rsidRPr="00843FEE">
              <w:rPr>
                <w:rFonts w:cs="Arial"/>
              </w:rPr>
              <w:t>Carthamus tinctorius L.</w:t>
            </w:r>
          </w:p>
        </w:tc>
        <w:tc>
          <w:tcPr>
            <w:cnfStyle w:val="000010000000"/>
            <w:tcW w:w="3071" w:type="dxa"/>
          </w:tcPr>
          <w:p w:rsidR="0059776C" w:rsidRPr="00843FEE" w:rsidRDefault="0059776C" w:rsidP="009C7100">
            <w:pPr>
              <w:jc w:val="left"/>
              <w:rPr>
                <w:rFonts w:cs="Arial"/>
              </w:rPr>
            </w:pPr>
            <w:r w:rsidRPr="00843FEE">
              <w:rPr>
                <w:rFonts w:cs="Arial"/>
              </w:rPr>
              <w:t>Safflower (False saffron)</w:t>
            </w:r>
          </w:p>
        </w:tc>
        <w:tc>
          <w:tcPr>
            <w:cnfStyle w:val="000100000000"/>
            <w:tcW w:w="3606" w:type="dxa"/>
          </w:tcPr>
          <w:p w:rsidR="0059776C" w:rsidRPr="00843FEE" w:rsidRDefault="0059776C" w:rsidP="009C7100">
            <w:pPr>
              <w:jc w:val="left"/>
              <w:rPr>
                <w:rFonts w:cs="Arial"/>
                <w:b w:val="0"/>
                <w:bCs w:val="0"/>
              </w:rPr>
            </w:pPr>
            <w:r w:rsidRPr="00843FEE">
              <w:rPr>
                <w:rFonts w:cs="Arial"/>
              </w:rPr>
              <w:t>Světlice barvířská – saflor (including seeds)</w:t>
            </w:r>
          </w:p>
        </w:tc>
      </w:tr>
      <w:tr w:rsidR="0059776C" w:rsidRPr="00843FEE" w:rsidTr="00D85944">
        <w:tc>
          <w:tcPr>
            <w:cnfStyle w:val="001000000000"/>
            <w:tcW w:w="3246" w:type="dxa"/>
          </w:tcPr>
          <w:p w:rsidR="0059776C" w:rsidRPr="00843FEE" w:rsidRDefault="0059776C" w:rsidP="009C7100">
            <w:pPr>
              <w:jc w:val="left"/>
              <w:rPr>
                <w:rFonts w:cs="Arial"/>
                <w:b w:val="0"/>
                <w:bCs w:val="0"/>
              </w:rPr>
            </w:pPr>
            <w:r w:rsidRPr="00843FEE">
              <w:rPr>
                <w:rFonts w:cs="Arial"/>
              </w:rPr>
              <w:t>Malva L. spp.</w:t>
            </w:r>
          </w:p>
        </w:tc>
        <w:tc>
          <w:tcPr>
            <w:cnfStyle w:val="000010000000"/>
            <w:tcW w:w="3071" w:type="dxa"/>
          </w:tcPr>
          <w:p w:rsidR="0059776C" w:rsidRPr="00843FEE" w:rsidRDefault="0059776C" w:rsidP="009C7100">
            <w:pPr>
              <w:jc w:val="left"/>
              <w:rPr>
                <w:rFonts w:cs="Arial"/>
              </w:rPr>
            </w:pPr>
            <w:r w:rsidRPr="00843FEE">
              <w:rPr>
                <w:rFonts w:cs="Arial"/>
              </w:rPr>
              <w:t>Mallow</w:t>
            </w:r>
          </w:p>
        </w:tc>
        <w:tc>
          <w:tcPr>
            <w:cnfStyle w:val="000100000000"/>
            <w:tcW w:w="3606" w:type="dxa"/>
          </w:tcPr>
          <w:p w:rsidR="0059776C" w:rsidRPr="00843FEE" w:rsidRDefault="0059776C" w:rsidP="009C7100">
            <w:pPr>
              <w:jc w:val="left"/>
              <w:rPr>
                <w:rFonts w:cs="Arial"/>
                <w:b w:val="0"/>
                <w:bCs w:val="0"/>
              </w:rPr>
            </w:pPr>
            <w:r w:rsidRPr="00843FEE">
              <w:rPr>
                <w:rFonts w:cs="Arial"/>
              </w:rPr>
              <w:t>Slézy</w:t>
            </w:r>
          </w:p>
        </w:tc>
      </w:tr>
      <w:tr w:rsidR="0059776C" w:rsidRPr="00843FEE" w:rsidTr="00D85944">
        <w:trPr>
          <w:cnfStyle w:val="000000100000"/>
        </w:trPr>
        <w:tc>
          <w:tcPr>
            <w:cnfStyle w:val="001000000000"/>
            <w:tcW w:w="3246" w:type="dxa"/>
          </w:tcPr>
          <w:p w:rsidR="0059776C" w:rsidRPr="00843FEE" w:rsidRDefault="0059776C" w:rsidP="009C7100">
            <w:pPr>
              <w:jc w:val="left"/>
              <w:rPr>
                <w:rFonts w:cs="Arial"/>
                <w:b w:val="0"/>
                <w:bCs w:val="0"/>
              </w:rPr>
            </w:pPr>
            <w:r w:rsidRPr="00843FEE">
              <w:rPr>
                <w:rFonts w:cs="Arial"/>
              </w:rPr>
              <w:t>Melilotus alba</w:t>
            </w:r>
          </w:p>
        </w:tc>
        <w:tc>
          <w:tcPr>
            <w:cnfStyle w:val="000010000000"/>
            <w:tcW w:w="3071" w:type="dxa"/>
          </w:tcPr>
          <w:p w:rsidR="0059776C" w:rsidRPr="00843FEE" w:rsidRDefault="0059776C" w:rsidP="009C7100">
            <w:pPr>
              <w:jc w:val="left"/>
              <w:rPr>
                <w:rFonts w:cs="Arial"/>
              </w:rPr>
            </w:pPr>
            <w:r w:rsidRPr="00843FEE">
              <w:rPr>
                <w:rFonts w:cs="Arial"/>
              </w:rPr>
              <w:t>Hemp (white?)</w:t>
            </w:r>
          </w:p>
        </w:tc>
        <w:tc>
          <w:tcPr>
            <w:cnfStyle w:val="000100000000"/>
            <w:tcW w:w="3606" w:type="dxa"/>
          </w:tcPr>
          <w:p w:rsidR="0059776C" w:rsidRPr="00843FEE" w:rsidRDefault="0059776C" w:rsidP="009C7100">
            <w:pPr>
              <w:jc w:val="left"/>
              <w:rPr>
                <w:rFonts w:cs="Arial"/>
                <w:b w:val="0"/>
                <w:bCs w:val="0"/>
              </w:rPr>
            </w:pPr>
            <w:r w:rsidRPr="00843FEE">
              <w:rPr>
                <w:rFonts w:cs="Arial"/>
              </w:rPr>
              <w:t>Konopice bílá</w:t>
            </w:r>
          </w:p>
        </w:tc>
      </w:tr>
      <w:tr w:rsidR="0059776C" w:rsidRPr="00843FEE" w:rsidTr="00D85944">
        <w:tc>
          <w:tcPr>
            <w:cnfStyle w:val="001000000000"/>
            <w:tcW w:w="3246" w:type="dxa"/>
          </w:tcPr>
          <w:p w:rsidR="0059776C" w:rsidRPr="00843FEE" w:rsidRDefault="0059776C" w:rsidP="009C7100">
            <w:pPr>
              <w:jc w:val="left"/>
              <w:rPr>
                <w:rFonts w:cs="Arial"/>
                <w:b w:val="0"/>
                <w:bCs w:val="0"/>
              </w:rPr>
            </w:pPr>
            <w:r w:rsidRPr="00843FEE">
              <w:rPr>
                <w:rFonts w:cs="Arial"/>
              </w:rPr>
              <w:t>Brassica juncea</w:t>
            </w:r>
          </w:p>
        </w:tc>
        <w:tc>
          <w:tcPr>
            <w:cnfStyle w:val="000010000000"/>
            <w:tcW w:w="3071" w:type="dxa"/>
          </w:tcPr>
          <w:p w:rsidR="0059776C" w:rsidRPr="00843FEE" w:rsidRDefault="0059776C" w:rsidP="009C7100">
            <w:pPr>
              <w:jc w:val="left"/>
              <w:rPr>
                <w:rFonts w:cs="Arial"/>
              </w:rPr>
            </w:pPr>
            <w:r w:rsidRPr="00843FEE">
              <w:rPr>
                <w:rFonts w:cs="Arial"/>
              </w:rPr>
              <w:t>Brown mustard ?</w:t>
            </w:r>
          </w:p>
        </w:tc>
        <w:tc>
          <w:tcPr>
            <w:cnfStyle w:val="000100000000"/>
            <w:tcW w:w="3606" w:type="dxa"/>
          </w:tcPr>
          <w:p w:rsidR="0059776C" w:rsidRPr="00843FEE" w:rsidRDefault="0059776C" w:rsidP="009C7100">
            <w:pPr>
              <w:jc w:val="left"/>
              <w:rPr>
                <w:rFonts w:cs="Arial"/>
                <w:b w:val="0"/>
                <w:bCs w:val="0"/>
              </w:rPr>
            </w:pPr>
            <w:r w:rsidRPr="00843FEE">
              <w:rPr>
                <w:rFonts w:cs="Arial"/>
              </w:rPr>
              <w:t>Hořčice sareptská</w:t>
            </w:r>
          </w:p>
        </w:tc>
      </w:tr>
      <w:tr w:rsidR="0059776C" w:rsidRPr="00843FEE" w:rsidTr="00D85944">
        <w:trPr>
          <w:cnfStyle w:val="000000100000"/>
        </w:trPr>
        <w:tc>
          <w:tcPr>
            <w:cnfStyle w:val="001000000000"/>
            <w:tcW w:w="3246" w:type="dxa"/>
          </w:tcPr>
          <w:p w:rsidR="0059776C" w:rsidRPr="00843FEE" w:rsidRDefault="0059776C" w:rsidP="009C7100">
            <w:pPr>
              <w:jc w:val="left"/>
              <w:rPr>
                <w:rFonts w:cs="Arial"/>
                <w:b w:val="0"/>
                <w:bCs w:val="0"/>
              </w:rPr>
            </w:pPr>
            <w:r w:rsidRPr="00843FEE">
              <w:rPr>
                <w:rFonts w:cs="Arial"/>
              </w:rPr>
              <w:t>Sorghum spp.</w:t>
            </w:r>
          </w:p>
        </w:tc>
        <w:tc>
          <w:tcPr>
            <w:cnfStyle w:val="000010000000"/>
            <w:tcW w:w="3071" w:type="dxa"/>
          </w:tcPr>
          <w:p w:rsidR="0059776C" w:rsidRPr="00843FEE" w:rsidRDefault="0059776C" w:rsidP="009C7100">
            <w:pPr>
              <w:jc w:val="left"/>
              <w:rPr>
                <w:rFonts w:cs="Arial"/>
              </w:rPr>
            </w:pPr>
            <w:r w:rsidRPr="00843FEE">
              <w:rPr>
                <w:rFonts w:cs="Arial"/>
              </w:rPr>
              <w:t>Sorghum</w:t>
            </w:r>
          </w:p>
        </w:tc>
        <w:tc>
          <w:tcPr>
            <w:cnfStyle w:val="000100000000"/>
            <w:tcW w:w="3606" w:type="dxa"/>
          </w:tcPr>
          <w:p w:rsidR="0059776C" w:rsidRPr="00843FEE" w:rsidRDefault="0059776C" w:rsidP="009C7100">
            <w:pPr>
              <w:jc w:val="left"/>
              <w:rPr>
                <w:rFonts w:cs="Arial"/>
                <w:b w:val="0"/>
                <w:bCs w:val="0"/>
              </w:rPr>
            </w:pPr>
            <w:r w:rsidRPr="00843FEE">
              <w:rPr>
                <w:rFonts w:cs="Arial"/>
              </w:rPr>
              <w:t>Čirok</w:t>
            </w:r>
          </w:p>
        </w:tc>
      </w:tr>
      <w:tr w:rsidR="0059776C" w:rsidRPr="00843FEE" w:rsidTr="00D85944">
        <w:tc>
          <w:tcPr>
            <w:cnfStyle w:val="001000000000"/>
            <w:tcW w:w="3246" w:type="dxa"/>
          </w:tcPr>
          <w:p w:rsidR="0059776C" w:rsidRPr="00843FEE" w:rsidRDefault="0059776C" w:rsidP="009C7100">
            <w:pPr>
              <w:jc w:val="left"/>
              <w:rPr>
                <w:rFonts w:cs="Arial"/>
                <w:b w:val="0"/>
                <w:bCs w:val="0"/>
              </w:rPr>
            </w:pPr>
            <w:r w:rsidRPr="00843FEE">
              <w:rPr>
                <w:rFonts w:cs="Arial"/>
              </w:rPr>
              <w:t>Raphanus sativus L. var. oleiformis Pers.</w:t>
            </w:r>
          </w:p>
        </w:tc>
        <w:tc>
          <w:tcPr>
            <w:cnfStyle w:val="000010000000"/>
            <w:tcW w:w="3071" w:type="dxa"/>
          </w:tcPr>
          <w:p w:rsidR="0059776C" w:rsidRPr="00843FEE" w:rsidRDefault="0059776C" w:rsidP="009C7100">
            <w:pPr>
              <w:jc w:val="left"/>
              <w:rPr>
                <w:rFonts w:cs="Arial"/>
              </w:rPr>
            </w:pPr>
            <w:r w:rsidRPr="00843FEE">
              <w:rPr>
                <w:rFonts w:cs="Arial"/>
              </w:rPr>
              <w:t>Radish Planut (common garden radish)</w:t>
            </w:r>
          </w:p>
        </w:tc>
        <w:tc>
          <w:tcPr>
            <w:cnfStyle w:val="000100000000"/>
            <w:tcW w:w="3606" w:type="dxa"/>
          </w:tcPr>
          <w:p w:rsidR="0059776C" w:rsidRPr="00843FEE" w:rsidRDefault="0059776C" w:rsidP="009C7100">
            <w:pPr>
              <w:jc w:val="left"/>
              <w:rPr>
                <w:rFonts w:cs="Arial"/>
                <w:b w:val="0"/>
                <w:bCs w:val="0"/>
              </w:rPr>
            </w:pPr>
            <w:r w:rsidRPr="00843FEE">
              <w:rPr>
                <w:rFonts w:cs="Arial"/>
              </w:rPr>
              <w:t>Ředkev olejná</w:t>
            </w:r>
          </w:p>
        </w:tc>
      </w:tr>
      <w:tr w:rsidR="0059776C" w:rsidRPr="00843FEE" w:rsidTr="00D85944">
        <w:trPr>
          <w:cnfStyle w:val="000000100000"/>
        </w:trPr>
        <w:tc>
          <w:tcPr>
            <w:cnfStyle w:val="001000000000"/>
            <w:tcW w:w="3246" w:type="dxa"/>
          </w:tcPr>
          <w:p w:rsidR="0059776C" w:rsidRPr="00843FEE" w:rsidRDefault="0059776C" w:rsidP="009C7100">
            <w:pPr>
              <w:jc w:val="left"/>
              <w:rPr>
                <w:rFonts w:cs="Arial"/>
                <w:b w:val="0"/>
                <w:bCs w:val="0"/>
              </w:rPr>
            </w:pPr>
            <w:r w:rsidRPr="00843FEE">
              <w:rPr>
                <w:rFonts w:cs="Arial"/>
              </w:rPr>
              <w:t>Silphium perfoliatum</w:t>
            </w:r>
          </w:p>
        </w:tc>
        <w:tc>
          <w:tcPr>
            <w:cnfStyle w:val="000010000000"/>
            <w:tcW w:w="3071" w:type="dxa"/>
          </w:tcPr>
          <w:p w:rsidR="0059776C" w:rsidRPr="00843FEE" w:rsidRDefault="0059776C" w:rsidP="009C7100">
            <w:pPr>
              <w:jc w:val="left"/>
              <w:rPr>
                <w:rFonts w:cs="Arial"/>
              </w:rPr>
            </w:pPr>
            <w:r w:rsidRPr="00843FEE">
              <w:rPr>
                <w:rFonts w:cs="Arial"/>
              </w:rPr>
              <w:t>Rosin-weed</w:t>
            </w:r>
          </w:p>
        </w:tc>
        <w:tc>
          <w:tcPr>
            <w:cnfStyle w:val="000100000000"/>
            <w:tcW w:w="3606" w:type="dxa"/>
          </w:tcPr>
          <w:p w:rsidR="0059776C" w:rsidRPr="00843FEE" w:rsidRDefault="0059776C" w:rsidP="009C7100">
            <w:pPr>
              <w:jc w:val="left"/>
              <w:rPr>
                <w:rFonts w:cs="Arial"/>
                <w:b w:val="0"/>
                <w:bCs w:val="0"/>
              </w:rPr>
            </w:pPr>
            <w:r w:rsidRPr="00843FEE">
              <w:rPr>
                <w:rFonts w:cs="Arial"/>
              </w:rPr>
              <w:t>Mužák prorostlý</w:t>
            </w:r>
          </w:p>
        </w:tc>
      </w:tr>
      <w:tr w:rsidR="0059776C" w:rsidRPr="00843FEE" w:rsidTr="00D85944">
        <w:tc>
          <w:tcPr>
            <w:cnfStyle w:val="001000000000"/>
            <w:tcW w:w="3246" w:type="dxa"/>
          </w:tcPr>
          <w:p w:rsidR="0059776C" w:rsidRPr="00843FEE" w:rsidRDefault="0059776C" w:rsidP="009C7100">
            <w:pPr>
              <w:jc w:val="left"/>
              <w:rPr>
                <w:rFonts w:cs="Arial"/>
                <w:b w:val="0"/>
                <w:bCs w:val="0"/>
              </w:rPr>
            </w:pPr>
            <w:r w:rsidRPr="00843FEE">
              <w:rPr>
                <w:rFonts w:cs="Arial"/>
              </w:rPr>
              <w:t>Galega orientalis</w:t>
            </w:r>
          </w:p>
        </w:tc>
        <w:tc>
          <w:tcPr>
            <w:cnfStyle w:val="000010000000"/>
            <w:tcW w:w="3071" w:type="dxa"/>
          </w:tcPr>
          <w:p w:rsidR="0059776C" w:rsidRPr="00843FEE" w:rsidRDefault="0059776C" w:rsidP="009C7100">
            <w:pPr>
              <w:jc w:val="left"/>
              <w:rPr>
                <w:rFonts w:cs="Arial"/>
              </w:rPr>
            </w:pPr>
            <w:r w:rsidRPr="00843FEE">
              <w:rPr>
                <w:rFonts w:cs="Arial"/>
              </w:rPr>
              <w:t>East rowan</w:t>
            </w:r>
          </w:p>
        </w:tc>
        <w:tc>
          <w:tcPr>
            <w:cnfStyle w:val="000100000000"/>
            <w:tcW w:w="3606" w:type="dxa"/>
          </w:tcPr>
          <w:p w:rsidR="0059776C" w:rsidRPr="00843FEE" w:rsidRDefault="0059776C" w:rsidP="009C7100">
            <w:pPr>
              <w:jc w:val="left"/>
              <w:rPr>
                <w:rFonts w:cs="Arial"/>
                <w:b w:val="0"/>
                <w:bCs w:val="0"/>
              </w:rPr>
            </w:pPr>
            <w:r w:rsidRPr="00843FEE">
              <w:rPr>
                <w:rFonts w:cs="Arial"/>
              </w:rPr>
              <w:t>Jeřabina východní</w:t>
            </w:r>
          </w:p>
        </w:tc>
      </w:tr>
      <w:tr w:rsidR="0059776C" w:rsidRPr="00843FEE" w:rsidTr="00D85944">
        <w:trPr>
          <w:cnfStyle w:val="000000100000"/>
        </w:trPr>
        <w:tc>
          <w:tcPr>
            <w:cnfStyle w:val="001000000000"/>
            <w:tcW w:w="3246" w:type="dxa"/>
          </w:tcPr>
          <w:p w:rsidR="0059776C" w:rsidRPr="00843FEE" w:rsidRDefault="0059776C" w:rsidP="009C7100">
            <w:pPr>
              <w:jc w:val="left"/>
              <w:rPr>
                <w:rFonts w:cs="Arial"/>
                <w:b w:val="0"/>
                <w:bCs w:val="0"/>
              </w:rPr>
            </w:pPr>
            <w:r w:rsidRPr="00843FEE">
              <w:rPr>
                <w:rFonts w:cs="Arial"/>
              </w:rPr>
              <w:t>Coronilla varia</w:t>
            </w:r>
          </w:p>
        </w:tc>
        <w:tc>
          <w:tcPr>
            <w:cnfStyle w:val="000010000000"/>
            <w:tcW w:w="3071" w:type="dxa"/>
          </w:tcPr>
          <w:p w:rsidR="0059776C" w:rsidRPr="00843FEE" w:rsidRDefault="0059776C" w:rsidP="009C7100">
            <w:pPr>
              <w:jc w:val="left"/>
              <w:rPr>
                <w:rFonts w:cs="Arial"/>
              </w:rPr>
            </w:pPr>
            <w:r w:rsidRPr="00843FEE">
              <w:rPr>
                <w:rFonts w:cs="Arial"/>
              </w:rPr>
              <w:t>Crown vetch</w:t>
            </w:r>
          </w:p>
        </w:tc>
        <w:tc>
          <w:tcPr>
            <w:cnfStyle w:val="000100000000"/>
            <w:tcW w:w="3606" w:type="dxa"/>
          </w:tcPr>
          <w:p w:rsidR="0059776C" w:rsidRPr="00843FEE" w:rsidRDefault="0059776C" w:rsidP="009C7100">
            <w:pPr>
              <w:jc w:val="left"/>
              <w:rPr>
                <w:rFonts w:cs="Arial"/>
                <w:b w:val="0"/>
                <w:bCs w:val="0"/>
              </w:rPr>
            </w:pPr>
            <w:r w:rsidRPr="00843FEE">
              <w:rPr>
                <w:rFonts w:cs="Arial"/>
              </w:rPr>
              <w:t>Čičorka pestrá</w:t>
            </w:r>
          </w:p>
        </w:tc>
      </w:tr>
      <w:tr w:rsidR="0059776C" w:rsidRPr="00843FEE" w:rsidTr="00D85944">
        <w:tc>
          <w:tcPr>
            <w:cnfStyle w:val="001000000000"/>
            <w:tcW w:w="3246" w:type="dxa"/>
          </w:tcPr>
          <w:p w:rsidR="0059776C" w:rsidRPr="00843FEE" w:rsidRDefault="0059776C" w:rsidP="009C7100">
            <w:pPr>
              <w:jc w:val="left"/>
              <w:rPr>
                <w:rFonts w:cs="Arial"/>
                <w:b w:val="0"/>
                <w:bCs w:val="0"/>
              </w:rPr>
            </w:pPr>
            <w:r w:rsidRPr="00843FEE">
              <w:rPr>
                <w:rFonts w:cs="Arial"/>
              </w:rPr>
              <w:t>Rumex tianshanicus</w:t>
            </w:r>
            <w:r w:rsidR="009C7100">
              <w:rPr>
                <w:rFonts w:cs="Arial"/>
              </w:rPr>
              <w:t xml:space="preserve"> </w:t>
            </w:r>
            <w:r w:rsidRPr="00843FEE">
              <w:rPr>
                <w:rFonts w:cs="Arial"/>
              </w:rPr>
              <w:t>x Rumex patientia</w:t>
            </w:r>
          </w:p>
        </w:tc>
        <w:tc>
          <w:tcPr>
            <w:cnfStyle w:val="000010000000"/>
            <w:tcW w:w="3071" w:type="dxa"/>
          </w:tcPr>
          <w:p w:rsidR="0059776C" w:rsidRPr="00843FEE" w:rsidRDefault="0059776C" w:rsidP="009C7100">
            <w:pPr>
              <w:jc w:val="left"/>
              <w:rPr>
                <w:rFonts w:cs="Arial"/>
              </w:rPr>
            </w:pPr>
            <w:r w:rsidRPr="00843FEE">
              <w:rPr>
                <w:rFonts w:cs="Arial"/>
              </w:rPr>
              <w:t>Sorrell feed</w:t>
            </w:r>
          </w:p>
        </w:tc>
        <w:tc>
          <w:tcPr>
            <w:cnfStyle w:val="000100000000"/>
            <w:tcW w:w="3606" w:type="dxa"/>
          </w:tcPr>
          <w:p w:rsidR="0059776C" w:rsidRPr="00843FEE" w:rsidRDefault="0059776C" w:rsidP="009C7100">
            <w:pPr>
              <w:jc w:val="left"/>
              <w:rPr>
                <w:rFonts w:cs="Arial"/>
                <w:b w:val="0"/>
                <w:bCs w:val="0"/>
              </w:rPr>
            </w:pPr>
            <w:r w:rsidRPr="00843FEE">
              <w:rPr>
                <w:rFonts w:cs="Arial"/>
              </w:rPr>
              <w:t>Šťovík krmný</w:t>
            </w:r>
          </w:p>
        </w:tc>
      </w:tr>
      <w:tr w:rsidR="0059776C" w:rsidRPr="00843FEE" w:rsidTr="00D85944">
        <w:trPr>
          <w:cnfStyle w:val="000000100000"/>
        </w:trPr>
        <w:tc>
          <w:tcPr>
            <w:cnfStyle w:val="001000000000"/>
            <w:tcW w:w="3246" w:type="dxa"/>
          </w:tcPr>
          <w:p w:rsidR="0059776C" w:rsidRPr="00843FEE" w:rsidRDefault="0059776C" w:rsidP="009C7100">
            <w:pPr>
              <w:jc w:val="left"/>
              <w:rPr>
                <w:rFonts w:cs="Arial"/>
                <w:b w:val="0"/>
                <w:bCs w:val="0"/>
              </w:rPr>
            </w:pPr>
            <w:r w:rsidRPr="00843FEE">
              <w:rPr>
                <w:rFonts w:cs="Arial"/>
              </w:rPr>
              <w:t>Kitaibelia vitifolia</w:t>
            </w:r>
          </w:p>
        </w:tc>
        <w:tc>
          <w:tcPr>
            <w:cnfStyle w:val="000010000000"/>
            <w:tcW w:w="3071" w:type="dxa"/>
          </w:tcPr>
          <w:p w:rsidR="0059776C" w:rsidRPr="00843FEE" w:rsidRDefault="0059776C" w:rsidP="009C7100">
            <w:pPr>
              <w:jc w:val="left"/>
              <w:rPr>
                <w:rFonts w:cs="Arial"/>
              </w:rPr>
            </w:pPr>
            <w:r w:rsidRPr="00843FEE">
              <w:rPr>
                <w:rFonts w:cs="Arial"/>
              </w:rPr>
              <w:t>Hardy mallow</w:t>
            </w:r>
          </w:p>
        </w:tc>
        <w:tc>
          <w:tcPr>
            <w:cnfStyle w:val="000100000000"/>
            <w:tcW w:w="3606" w:type="dxa"/>
          </w:tcPr>
          <w:p w:rsidR="0059776C" w:rsidRPr="00843FEE" w:rsidRDefault="0059776C" w:rsidP="009C7100">
            <w:pPr>
              <w:jc w:val="left"/>
              <w:rPr>
                <w:rFonts w:cs="Arial"/>
                <w:b w:val="0"/>
                <w:bCs w:val="0"/>
              </w:rPr>
            </w:pPr>
            <w:r w:rsidRPr="00843FEE">
              <w:rPr>
                <w:rFonts w:cs="Arial"/>
              </w:rPr>
              <w:t>Sléz vytrvalý</w:t>
            </w:r>
          </w:p>
        </w:tc>
      </w:tr>
      <w:tr w:rsidR="0059776C" w:rsidRPr="00843FEE" w:rsidTr="00D85944">
        <w:tc>
          <w:tcPr>
            <w:cnfStyle w:val="001000000000"/>
            <w:tcW w:w="3246" w:type="dxa"/>
          </w:tcPr>
          <w:p w:rsidR="0059776C" w:rsidRPr="00843FEE" w:rsidRDefault="0059776C" w:rsidP="009C7100">
            <w:pPr>
              <w:jc w:val="left"/>
              <w:rPr>
                <w:rFonts w:cs="Arial"/>
                <w:b w:val="0"/>
                <w:bCs w:val="0"/>
              </w:rPr>
            </w:pPr>
            <w:r w:rsidRPr="00843FEE">
              <w:rPr>
                <w:rFonts w:cs="Arial"/>
              </w:rPr>
              <w:t>Bromus inermis</w:t>
            </w:r>
          </w:p>
        </w:tc>
        <w:tc>
          <w:tcPr>
            <w:cnfStyle w:val="000010000000"/>
            <w:tcW w:w="3071" w:type="dxa"/>
          </w:tcPr>
          <w:p w:rsidR="0059776C" w:rsidRPr="00843FEE" w:rsidRDefault="0059776C" w:rsidP="009C7100">
            <w:pPr>
              <w:jc w:val="left"/>
              <w:rPr>
                <w:rFonts w:cs="Arial"/>
              </w:rPr>
            </w:pPr>
            <w:r w:rsidRPr="00843FEE">
              <w:rPr>
                <w:rFonts w:cs="Arial"/>
              </w:rPr>
              <w:t>Brome grass</w:t>
            </w:r>
          </w:p>
        </w:tc>
        <w:tc>
          <w:tcPr>
            <w:cnfStyle w:val="000100000000"/>
            <w:tcW w:w="3606" w:type="dxa"/>
          </w:tcPr>
          <w:p w:rsidR="0059776C" w:rsidRPr="00843FEE" w:rsidRDefault="0059776C" w:rsidP="009C7100">
            <w:pPr>
              <w:jc w:val="left"/>
              <w:rPr>
                <w:rFonts w:cs="Arial"/>
                <w:b w:val="0"/>
                <w:bCs w:val="0"/>
              </w:rPr>
            </w:pPr>
            <w:r w:rsidRPr="00843FEE">
              <w:rPr>
                <w:rFonts w:cs="Arial"/>
              </w:rPr>
              <w:t>Sveřep bezbranný</w:t>
            </w:r>
          </w:p>
        </w:tc>
      </w:tr>
      <w:tr w:rsidR="0059776C" w:rsidRPr="00843FEE" w:rsidTr="00D85944">
        <w:trPr>
          <w:cnfStyle w:val="000000100000"/>
        </w:trPr>
        <w:tc>
          <w:tcPr>
            <w:cnfStyle w:val="001000000000"/>
            <w:tcW w:w="3246" w:type="dxa"/>
          </w:tcPr>
          <w:p w:rsidR="0059776C" w:rsidRPr="00843FEE" w:rsidRDefault="0059776C" w:rsidP="009C7100">
            <w:pPr>
              <w:jc w:val="left"/>
              <w:rPr>
                <w:rFonts w:cs="Arial"/>
                <w:b w:val="0"/>
                <w:bCs w:val="0"/>
              </w:rPr>
            </w:pPr>
            <w:r w:rsidRPr="00843FEE">
              <w:rPr>
                <w:rFonts w:cs="Arial"/>
              </w:rPr>
              <w:t>Bromus cartharticus</w:t>
            </w:r>
          </w:p>
        </w:tc>
        <w:tc>
          <w:tcPr>
            <w:cnfStyle w:val="000010000000"/>
            <w:tcW w:w="3071" w:type="dxa"/>
          </w:tcPr>
          <w:p w:rsidR="0059776C" w:rsidRPr="00843FEE" w:rsidRDefault="0059776C" w:rsidP="009C7100">
            <w:pPr>
              <w:jc w:val="left"/>
              <w:rPr>
                <w:rFonts w:cs="Arial"/>
              </w:rPr>
            </w:pPr>
            <w:r w:rsidRPr="00843FEE">
              <w:rPr>
                <w:rFonts w:cs="Arial"/>
              </w:rPr>
              <w:t>Brome …</w:t>
            </w:r>
          </w:p>
        </w:tc>
        <w:tc>
          <w:tcPr>
            <w:cnfStyle w:val="000100000000"/>
            <w:tcW w:w="3606" w:type="dxa"/>
          </w:tcPr>
          <w:p w:rsidR="0059776C" w:rsidRPr="00843FEE" w:rsidRDefault="0059776C" w:rsidP="009C7100">
            <w:pPr>
              <w:jc w:val="left"/>
              <w:rPr>
                <w:rFonts w:cs="Arial"/>
                <w:b w:val="0"/>
                <w:bCs w:val="0"/>
              </w:rPr>
            </w:pPr>
            <w:r w:rsidRPr="00843FEE">
              <w:rPr>
                <w:rFonts w:cs="Arial"/>
              </w:rPr>
              <w:t>Sveřep horský (samužníkovitý)</w:t>
            </w:r>
          </w:p>
        </w:tc>
      </w:tr>
      <w:tr w:rsidR="0059776C" w:rsidRPr="00843FEE" w:rsidTr="00D85944">
        <w:tc>
          <w:tcPr>
            <w:cnfStyle w:val="001000000000"/>
            <w:tcW w:w="3246" w:type="dxa"/>
          </w:tcPr>
          <w:p w:rsidR="0059776C" w:rsidRPr="00843FEE" w:rsidRDefault="0059776C" w:rsidP="009C7100">
            <w:pPr>
              <w:jc w:val="left"/>
              <w:rPr>
                <w:rFonts w:cs="Arial"/>
                <w:b w:val="0"/>
                <w:bCs w:val="0"/>
              </w:rPr>
            </w:pPr>
            <w:r w:rsidRPr="00843FEE">
              <w:rPr>
                <w:rFonts w:cs="Arial"/>
              </w:rPr>
              <w:lastRenderedPageBreak/>
              <w:t>Agrostis gigantea</w:t>
            </w:r>
          </w:p>
        </w:tc>
        <w:tc>
          <w:tcPr>
            <w:cnfStyle w:val="000010000000"/>
            <w:tcW w:w="3071" w:type="dxa"/>
          </w:tcPr>
          <w:p w:rsidR="0059776C" w:rsidRPr="00843FEE" w:rsidRDefault="0059776C" w:rsidP="009C7100">
            <w:pPr>
              <w:jc w:val="left"/>
              <w:rPr>
                <w:rFonts w:cs="Arial"/>
              </w:rPr>
            </w:pPr>
            <w:r w:rsidRPr="00843FEE">
              <w:rPr>
                <w:rFonts w:cs="Arial"/>
              </w:rPr>
              <w:t>Deer</w:t>
            </w:r>
            <w:r w:rsidRPr="00843FEE">
              <w:rPr>
                <w:rFonts w:cs="Arial"/>
                <w:lang w:val="en-US"/>
              </w:rPr>
              <w:t>’s-foot (bent grass</w:t>
            </w:r>
            <w:r w:rsidRPr="00843FEE">
              <w:rPr>
                <w:rFonts w:cs="Arial"/>
              </w:rPr>
              <w:t>)</w:t>
            </w:r>
          </w:p>
        </w:tc>
        <w:tc>
          <w:tcPr>
            <w:cnfStyle w:val="000100000000"/>
            <w:tcW w:w="3606" w:type="dxa"/>
          </w:tcPr>
          <w:p w:rsidR="0059776C" w:rsidRPr="00843FEE" w:rsidRDefault="0059776C" w:rsidP="009C7100">
            <w:pPr>
              <w:jc w:val="left"/>
              <w:rPr>
                <w:rFonts w:cs="Arial"/>
                <w:b w:val="0"/>
                <w:bCs w:val="0"/>
              </w:rPr>
            </w:pPr>
            <w:r w:rsidRPr="00843FEE">
              <w:rPr>
                <w:rFonts w:cs="Arial"/>
              </w:rPr>
              <w:t>Psineček veliký</w:t>
            </w:r>
          </w:p>
        </w:tc>
      </w:tr>
      <w:tr w:rsidR="0059776C" w:rsidRPr="00843FEE" w:rsidTr="00D85944">
        <w:trPr>
          <w:cnfStyle w:val="000000100000"/>
        </w:trPr>
        <w:tc>
          <w:tcPr>
            <w:cnfStyle w:val="001000000000"/>
            <w:tcW w:w="3246" w:type="dxa"/>
          </w:tcPr>
          <w:p w:rsidR="0059776C" w:rsidRPr="00843FEE" w:rsidRDefault="0059776C" w:rsidP="009C7100">
            <w:pPr>
              <w:jc w:val="left"/>
              <w:rPr>
                <w:rFonts w:cs="Arial"/>
                <w:b w:val="0"/>
                <w:bCs w:val="0"/>
              </w:rPr>
            </w:pPr>
            <w:r w:rsidRPr="00843FEE">
              <w:rPr>
                <w:rFonts w:cs="Arial"/>
              </w:rPr>
              <w:t>Phalaris arundinacea</w:t>
            </w:r>
          </w:p>
        </w:tc>
        <w:tc>
          <w:tcPr>
            <w:cnfStyle w:val="000010000000"/>
            <w:tcW w:w="3071" w:type="dxa"/>
          </w:tcPr>
          <w:p w:rsidR="0059776C" w:rsidRPr="00843FEE" w:rsidRDefault="0059776C" w:rsidP="009C7100">
            <w:pPr>
              <w:jc w:val="left"/>
              <w:rPr>
                <w:rFonts w:cs="Arial"/>
              </w:rPr>
            </w:pPr>
            <w:r w:rsidRPr="00843FEE">
              <w:rPr>
                <w:rFonts w:cs="Arial"/>
              </w:rPr>
              <w:t>Reed canary grass</w:t>
            </w:r>
          </w:p>
        </w:tc>
        <w:tc>
          <w:tcPr>
            <w:cnfStyle w:val="000100000000"/>
            <w:tcW w:w="3606" w:type="dxa"/>
          </w:tcPr>
          <w:p w:rsidR="0059776C" w:rsidRPr="00843FEE" w:rsidRDefault="0059776C" w:rsidP="009C7100">
            <w:pPr>
              <w:jc w:val="left"/>
              <w:rPr>
                <w:rFonts w:cs="Arial"/>
                <w:b w:val="0"/>
                <w:bCs w:val="0"/>
              </w:rPr>
            </w:pPr>
            <w:r w:rsidRPr="00843FEE">
              <w:rPr>
                <w:rFonts w:cs="Arial"/>
              </w:rPr>
              <w:t>Lesknice (chrastice) rákosovitá</w:t>
            </w:r>
          </w:p>
        </w:tc>
      </w:tr>
      <w:tr w:rsidR="0059776C" w:rsidRPr="00843FEE" w:rsidTr="00D85944">
        <w:tc>
          <w:tcPr>
            <w:cnfStyle w:val="001000000000"/>
            <w:tcW w:w="3246" w:type="dxa"/>
          </w:tcPr>
          <w:p w:rsidR="0059776C" w:rsidRPr="00843FEE" w:rsidRDefault="0059776C" w:rsidP="009C7100">
            <w:pPr>
              <w:jc w:val="left"/>
              <w:rPr>
                <w:rFonts w:cs="Arial"/>
                <w:b w:val="0"/>
                <w:bCs w:val="0"/>
              </w:rPr>
            </w:pPr>
            <w:r w:rsidRPr="00843FEE">
              <w:rPr>
                <w:rFonts w:cs="Arial"/>
              </w:rPr>
              <w:t>Festuca arundinacea</w:t>
            </w:r>
          </w:p>
        </w:tc>
        <w:tc>
          <w:tcPr>
            <w:cnfStyle w:val="000010000000"/>
            <w:tcW w:w="3071" w:type="dxa"/>
          </w:tcPr>
          <w:p w:rsidR="0059776C" w:rsidRPr="00843FEE" w:rsidRDefault="0059776C" w:rsidP="009C7100">
            <w:pPr>
              <w:jc w:val="left"/>
              <w:rPr>
                <w:rFonts w:cs="Arial"/>
              </w:rPr>
            </w:pPr>
            <w:r w:rsidRPr="00843FEE">
              <w:rPr>
                <w:rFonts w:cs="Arial"/>
              </w:rPr>
              <w:t>Fescue grass</w:t>
            </w:r>
          </w:p>
        </w:tc>
        <w:tc>
          <w:tcPr>
            <w:cnfStyle w:val="000100000000"/>
            <w:tcW w:w="3606" w:type="dxa"/>
          </w:tcPr>
          <w:p w:rsidR="0059776C" w:rsidRPr="00843FEE" w:rsidRDefault="0059776C" w:rsidP="009C7100">
            <w:pPr>
              <w:jc w:val="left"/>
              <w:rPr>
                <w:rFonts w:cs="Arial"/>
                <w:b w:val="0"/>
                <w:bCs w:val="0"/>
              </w:rPr>
            </w:pPr>
            <w:r w:rsidRPr="00843FEE">
              <w:rPr>
                <w:rFonts w:cs="Arial"/>
              </w:rPr>
              <w:t>Kostřava rákosovitá</w:t>
            </w:r>
          </w:p>
        </w:tc>
      </w:tr>
      <w:tr w:rsidR="0059776C" w:rsidRPr="00843FEE" w:rsidTr="00D85944">
        <w:trPr>
          <w:cnfStyle w:val="000000100000"/>
        </w:trPr>
        <w:tc>
          <w:tcPr>
            <w:cnfStyle w:val="001000000000"/>
            <w:tcW w:w="3246" w:type="dxa"/>
          </w:tcPr>
          <w:p w:rsidR="0059776C" w:rsidRPr="00843FEE" w:rsidRDefault="0059776C" w:rsidP="009C7100">
            <w:pPr>
              <w:jc w:val="left"/>
              <w:rPr>
                <w:rFonts w:cs="Arial"/>
                <w:b w:val="0"/>
                <w:bCs w:val="0"/>
              </w:rPr>
            </w:pPr>
            <w:r w:rsidRPr="00843FEE">
              <w:rPr>
                <w:rFonts w:cs="Arial"/>
              </w:rPr>
              <w:t>Arrehenatherum elatius</w:t>
            </w:r>
          </w:p>
        </w:tc>
        <w:tc>
          <w:tcPr>
            <w:cnfStyle w:val="000010000000"/>
            <w:tcW w:w="3071" w:type="dxa"/>
          </w:tcPr>
          <w:p w:rsidR="0059776C" w:rsidRPr="00843FEE" w:rsidRDefault="0059776C" w:rsidP="009C7100">
            <w:pPr>
              <w:jc w:val="left"/>
              <w:rPr>
                <w:rFonts w:cs="Arial"/>
              </w:rPr>
            </w:pPr>
            <w:r w:rsidRPr="00843FEE">
              <w:rPr>
                <w:rFonts w:cs="Arial"/>
              </w:rPr>
              <w:t>Oat-grass</w:t>
            </w:r>
          </w:p>
        </w:tc>
        <w:tc>
          <w:tcPr>
            <w:cnfStyle w:val="000100000000"/>
            <w:tcW w:w="3606" w:type="dxa"/>
          </w:tcPr>
          <w:p w:rsidR="0059776C" w:rsidRPr="00843FEE" w:rsidRDefault="0059776C" w:rsidP="009C7100">
            <w:pPr>
              <w:jc w:val="left"/>
              <w:rPr>
                <w:rFonts w:cs="Arial"/>
                <w:b w:val="0"/>
                <w:bCs w:val="0"/>
              </w:rPr>
            </w:pPr>
            <w:r w:rsidRPr="00843FEE">
              <w:rPr>
                <w:rFonts w:cs="Arial"/>
              </w:rPr>
              <w:t>Ovsík vyvýšený</w:t>
            </w:r>
          </w:p>
        </w:tc>
      </w:tr>
      <w:tr w:rsidR="0059776C" w:rsidRPr="00843FEE" w:rsidTr="00D85944">
        <w:tc>
          <w:tcPr>
            <w:cnfStyle w:val="001000000000"/>
            <w:tcW w:w="3246" w:type="dxa"/>
          </w:tcPr>
          <w:p w:rsidR="0059776C" w:rsidRPr="00843FEE" w:rsidRDefault="0059776C" w:rsidP="009C7100">
            <w:pPr>
              <w:jc w:val="left"/>
              <w:rPr>
                <w:rFonts w:cs="Arial"/>
                <w:b w:val="0"/>
                <w:bCs w:val="0"/>
              </w:rPr>
            </w:pPr>
            <w:r w:rsidRPr="00843FEE">
              <w:rPr>
                <w:rFonts w:cs="Arial"/>
              </w:rPr>
              <w:t>Dactilis glomerata L.</w:t>
            </w:r>
          </w:p>
        </w:tc>
        <w:tc>
          <w:tcPr>
            <w:cnfStyle w:val="000010000000"/>
            <w:tcW w:w="3071" w:type="dxa"/>
          </w:tcPr>
          <w:p w:rsidR="0059776C" w:rsidRPr="00843FEE" w:rsidRDefault="0059776C" w:rsidP="009C7100">
            <w:pPr>
              <w:jc w:val="left"/>
              <w:rPr>
                <w:rFonts w:cs="Arial"/>
              </w:rPr>
            </w:pPr>
            <w:r w:rsidRPr="00843FEE">
              <w:rPr>
                <w:rFonts w:cs="Arial"/>
              </w:rPr>
              <w:t>Orchard grass (cocksfoot)</w:t>
            </w:r>
          </w:p>
        </w:tc>
        <w:tc>
          <w:tcPr>
            <w:cnfStyle w:val="000100000000"/>
            <w:tcW w:w="3606" w:type="dxa"/>
          </w:tcPr>
          <w:p w:rsidR="0059776C" w:rsidRPr="00843FEE" w:rsidRDefault="0059776C" w:rsidP="009C7100">
            <w:pPr>
              <w:jc w:val="left"/>
              <w:rPr>
                <w:rFonts w:cs="Arial"/>
                <w:b w:val="0"/>
                <w:bCs w:val="0"/>
              </w:rPr>
            </w:pPr>
            <w:r w:rsidRPr="00843FEE">
              <w:rPr>
                <w:rFonts w:cs="Arial"/>
              </w:rPr>
              <w:t>Srha laločnatá</w:t>
            </w:r>
          </w:p>
        </w:tc>
      </w:tr>
      <w:tr w:rsidR="0059776C" w:rsidRPr="00843FEE" w:rsidTr="00D85944">
        <w:trPr>
          <w:cnfStyle w:val="000000100000"/>
        </w:trPr>
        <w:tc>
          <w:tcPr>
            <w:cnfStyle w:val="001000000000"/>
            <w:tcW w:w="3246" w:type="dxa"/>
          </w:tcPr>
          <w:p w:rsidR="0059776C" w:rsidRPr="00843FEE" w:rsidRDefault="0059776C" w:rsidP="009C7100">
            <w:pPr>
              <w:jc w:val="left"/>
              <w:rPr>
                <w:rFonts w:cs="Arial"/>
                <w:b w:val="0"/>
                <w:bCs w:val="0"/>
              </w:rPr>
            </w:pPr>
            <w:r w:rsidRPr="00843FEE">
              <w:rPr>
                <w:rFonts w:cs="Arial"/>
              </w:rPr>
              <w:t>Panicum virgatum</w:t>
            </w:r>
          </w:p>
        </w:tc>
        <w:tc>
          <w:tcPr>
            <w:cnfStyle w:val="000010000000"/>
            <w:tcW w:w="3071" w:type="dxa"/>
          </w:tcPr>
          <w:p w:rsidR="0059776C" w:rsidRPr="00843FEE" w:rsidRDefault="0059776C" w:rsidP="009C7100">
            <w:pPr>
              <w:jc w:val="left"/>
              <w:rPr>
                <w:rFonts w:cs="Arial"/>
              </w:rPr>
            </w:pPr>
            <w:r w:rsidRPr="00843FEE">
              <w:rPr>
                <w:rFonts w:cs="Arial"/>
              </w:rPr>
              <w:t>Hardy millet (sorgho) (or panic grass)</w:t>
            </w:r>
          </w:p>
        </w:tc>
        <w:tc>
          <w:tcPr>
            <w:cnfStyle w:val="000100000000"/>
            <w:tcW w:w="3606" w:type="dxa"/>
          </w:tcPr>
          <w:p w:rsidR="0059776C" w:rsidRPr="00843FEE" w:rsidRDefault="0059776C" w:rsidP="009C7100">
            <w:pPr>
              <w:jc w:val="left"/>
              <w:rPr>
                <w:rFonts w:cs="Arial"/>
                <w:b w:val="0"/>
                <w:bCs w:val="0"/>
              </w:rPr>
            </w:pPr>
            <w:r w:rsidRPr="00843FEE">
              <w:rPr>
                <w:rFonts w:cs="Arial"/>
              </w:rPr>
              <w:t>Proso vytrvalé</w:t>
            </w:r>
          </w:p>
        </w:tc>
      </w:tr>
      <w:tr w:rsidR="0059776C" w:rsidRPr="00843FEE" w:rsidTr="00D85944">
        <w:tc>
          <w:tcPr>
            <w:cnfStyle w:val="001000000000"/>
            <w:tcW w:w="3246" w:type="dxa"/>
          </w:tcPr>
          <w:p w:rsidR="0059776C" w:rsidRPr="00843FEE" w:rsidRDefault="0059776C" w:rsidP="009C7100">
            <w:pPr>
              <w:jc w:val="left"/>
              <w:rPr>
                <w:rFonts w:cs="Arial"/>
                <w:b w:val="0"/>
                <w:bCs w:val="0"/>
              </w:rPr>
            </w:pPr>
            <w:r w:rsidRPr="00843FEE">
              <w:rPr>
                <w:rFonts w:cs="Arial"/>
              </w:rPr>
              <w:t>Miscanthus</w:t>
            </w:r>
          </w:p>
        </w:tc>
        <w:tc>
          <w:tcPr>
            <w:cnfStyle w:val="000010000000"/>
            <w:tcW w:w="3071" w:type="dxa"/>
          </w:tcPr>
          <w:p w:rsidR="0059776C" w:rsidRPr="00843FEE" w:rsidRDefault="0059776C" w:rsidP="009C7100">
            <w:pPr>
              <w:jc w:val="left"/>
              <w:rPr>
                <w:rFonts w:cs="Arial"/>
              </w:rPr>
            </w:pPr>
            <w:r w:rsidRPr="00843FEE">
              <w:rPr>
                <w:rFonts w:cs="Arial"/>
              </w:rPr>
              <w:t>miscanthus</w:t>
            </w:r>
          </w:p>
        </w:tc>
        <w:tc>
          <w:tcPr>
            <w:cnfStyle w:val="000100000000"/>
            <w:tcW w:w="3606" w:type="dxa"/>
          </w:tcPr>
          <w:p w:rsidR="0059776C" w:rsidRPr="00843FEE" w:rsidRDefault="0059776C" w:rsidP="009C7100">
            <w:pPr>
              <w:jc w:val="left"/>
              <w:rPr>
                <w:rFonts w:cs="Arial"/>
                <w:b w:val="0"/>
                <w:bCs w:val="0"/>
              </w:rPr>
            </w:pPr>
            <w:r w:rsidRPr="00843FEE">
              <w:rPr>
                <w:rFonts w:cs="Arial"/>
              </w:rPr>
              <w:t>Ozdobnice</w:t>
            </w:r>
          </w:p>
        </w:tc>
      </w:tr>
      <w:tr w:rsidR="0059776C" w:rsidRPr="00843FEE" w:rsidTr="00D85944">
        <w:trPr>
          <w:cnfStyle w:val="000000100000"/>
        </w:trPr>
        <w:tc>
          <w:tcPr>
            <w:cnfStyle w:val="001000000000"/>
            <w:tcW w:w="3246" w:type="dxa"/>
          </w:tcPr>
          <w:p w:rsidR="0059776C" w:rsidRPr="00843FEE" w:rsidRDefault="0059776C" w:rsidP="009C7100">
            <w:pPr>
              <w:jc w:val="left"/>
              <w:rPr>
                <w:rFonts w:cs="Arial"/>
                <w:b w:val="0"/>
                <w:bCs w:val="0"/>
              </w:rPr>
            </w:pPr>
            <w:r w:rsidRPr="00843FEE">
              <w:rPr>
                <w:rFonts w:cs="Arial"/>
              </w:rPr>
              <w:t>Beta vulgaris L.</w:t>
            </w:r>
          </w:p>
        </w:tc>
        <w:tc>
          <w:tcPr>
            <w:cnfStyle w:val="000010000000"/>
            <w:tcW w:w="3071" w:type="dxa"/>
          </w:tcPr>
          <w:p w:rsidR="0059776C" w:rsidRPr="00843FEE" w:rsidRDefault="0059776C" w:rsidP="009C7100">
            <w:pPr>
              <w:jc w:val="left"/>
              <w:rPr>
                <w:rFonts w:cs="Arial"/>
              </w:rPr>
            </w:pPr>
            <w:r w:rsidRPr="00843FEE">
              <w:rPr>
                <w:rFonts w:cs="Arial"/>
              </w:rPr>
              <w:t>Sugar beet</w:t>
            </w:r>
          </w:p>
        </w:tc>
        <w:tc>
          <w:tcPr>
            <w:cnfStyle w:val="000100000000"/>
            <w:tcW w:w="3606" w:type="dxa"/>
          </w:tcPr>
          <w:p w:rsidR="0059776C" w:rsidRPr="00843FEE" w:rsidRDefault="0059776C" w:rsidP="009C7100">
            <w:pPr>
              <w:jc w:val="left"/>
              <w:rPr>
                <w:rFonts w:cs="Arial"/>
                <w:b w:val="0"/>
                <w:bCs w:val="0"/>
              </w:rPr>
            </w:pPr>
            <w:r w:rsidRPr="00843FEE">
              <w:rPr>
                <w:rFonts w:cs="Arial"/>
              </w:rPr>
              <w:t>Řepa cukrová (cukrovka)</w:t>
            </w:r>
          </w:p>
        </w:tc>
      </w:tr>
      <w:tr w:rsidR="0059776C" w:rsidRPr="00843FEE" w:rsidTr="00D85944">
        <w:tc>
          <w:tcPr>
            <w:cnfStyle w:val="001000000000"/>
            <w:tcW w:w="3246" w:type="dxa"/>
          </w:tcPr>
          <w:p w:rsidR="0059776C" w:rsidRPr="00843FEE" w:rsidRDefault="0059776C" w:rsidP="009C7100">
            <w:pPr>
              <w:jc w:val="left"/>
              <w:rPr>
                <w:rFonts w:cs="Arial"/>
                <w:b w:val="0"/>
                <w:bCs w:val="0"/>
              </w:rPr>
            </w:pPr>
            <w:r w:rsidRPr="00843FEE">
              <w:rPr>
                <w:rFonts w:cs="Arial"/>
              </w:rPr>
              <w:t>Solanum tuberosum</w:t>
            </w:r>
          </w:p>
        </w:tc>
        <w:tc>
          <w:tcPr>
            <w:cnfStyle w:val="000010000000"/>
            <w:tcW w:w="3071" w:type="dxa"/>
          </w:tcPr>
          <w:p w:rsidR="0059776C" w:rsidRPr="00843FEE" w:rsidRDefault="0059776C" w:rsidP="009C7100">
            <w:pPr>
              <w:jc w:val="left"/>
              <w:rPr>
                <w:rFonts w:cs="Arial"/>
              </w:rPr>
            </w:pPr>
            <w:r w:rsidRPr="00843FEE">
              <w:rPr>
                <w:rFonts w:cs="Arial"/>
              </w:rPr>
              <w:t>Common potato</w:t>
            </w:r>
          </w:p>
        </w:tc>
        <w:tc>
          <w:tcPr>
            <w:cnfStyle w:val="000100000000"/>
            <w:tcW w:w="3606" w:type="dxa"/>
          </w:tcPr>
          <w:p w:rsidR="0059776C" w:rsidRPr="00843FEE" w:rsidRDefault="0059776C" w:rsidP="009C7100">
            <w:pPr>
              <w:jc w:val="left"/>
              <w:rPr>
                <w:rFonts w:cs="Arial"/>
                <w:b w:val="0"/>
                <w:bCs w:val="0"/>
              </w:rPr>
            </w:pPr>
            <w:r w:rsidRPr="00843FEE">
              <w:rPr>
                <w:rFonts w:cs="Arial"/>
              </w:rPr>
              <w:t>Lilek brambor</w:t>
            </w:r>
          </w:p>
        </w:tc>
      </w:tr>
      <w:tr w:rsidR="0059776C" w:rsidRPr="00843FEE" w:rsidTr="00D85944">
        <w:trPr>
          <w:cnfStyle w:val="000000100000"/>
        </w:trPr>
        <w:tc>
          <w:tcPr>
            <w:cnfStyle w:val="001000000000"/>
            <w:tcW w:w="3246" w:type="dxa"/>
          </w:tcPr>
          <w:p w:rsidR="0059776C" w:rsidRPr="00843FEE" w:rsidRDefault="0059776C" w:rsidP="009C7100">
            <w:pPr>
              <w:jc w:val="left"/>
              <w:rPr>
                <w:rFonts w:cs="Arial"/>
                <w:b w:val="0"/>
                <w:bCs w:val="0"/>
              </w:rPr>
            </w:pPr>
            <w:r w:rsidRPr="00843FEE">
              <w:rPr>
                <w:rFonts w:cs="Arial"/>
              </w:rPr>
              <w:t>Brassica rapa subsp. oleifera (DC.) Metzg</w:t>
            </w:r>
          </w:p>
        </w:tc>
        <w:tc>
          <w:tcPr>
            <w:cnfStyle w:val="000010000000"/>
            <w:tcW w:w="3071" w:type="dxa"/>
          </w:tcPr>
          <w:p w:rsidR="0059776C" w:rsidRPr="00843FEE" w:rsidRDefault="0059776C" w:rsidP="009C7100">
            <w:pPr>
              <w:jc w:val="left"/>
              <w:rPr>
                <w:rFonts w:cs="Arial"/>
              </w:rPr>
            </w:pPr>
            <w:r w:rsidRPr="00843FEE">
              <w:rPr>
                <w:rFonts w:cs="Arial"/>
              </w:rPr>
              <w:t>Oilseed rape (Swedish turnip)</w:t>
            </w:r>
          </w:p>
        </w:tc>
        <w:tc>
          <w:tcPr>
            <w:cnfStyle w:val="000100000000"/>
            <w:tcW w:w="3606" w:type="dxa"/>
          </w:tcPr>
          <w:p w:rsidR="0059776C" w:rsidRPr="00843FEE" w:rsidRDefault="0059776C" w:rsidP="009C7100">
            <w:pPr>
              <w:jc w:val="left"/>
              <w:rPr>
                <w:rFonts w:cs="Arial"/>
                <w:b w:val="0"/>
                <w:bCs w:val="0"/>
              </w:rPr>
            </w:pPr>
            <w:r w:rsidRPr="00843FEE">
              <w:rPr>
                <w:rFonts w:cs="Arial"/>
              </w:rPr>
              <w:t>Řepice olejná</w:t>
            </w:r>
          </w:p>
        </w:tc>
      </w:tr>
      <w:tr w:rsidR="0059776C" w:rsidRPr="00843FEE" w:rsidTr="00D85944">
        <w:tc>
          <w:tcPr>
            <w:cnfStyle w:val="001000000000"/>
            <w:tcW w:w="3246" w:type="dxa"/>
          </w:tcPr>
          <w:p w:rsidR="0059776C" w:rsidRPr="00843FEE" w:rsidRDefault="0059776C" w:rsidP="009C7100">
            <w:pPr>
              <w:jc w:val="left"/>
              <w:rPr>
                <w:rFonts w:cs="Arial"/>
                <w:b w:val="0"/>
                <w:bCs w:val="0"/>
              </w:rPr>
            </w:pPr>
            <w:r w:rsidRPr="00843FEE">
              <w:rPr>
                <w:rFonts w:cs="Arial"/>
              </w:rPr>
              <w:t>Poaceae Barnhart</w:t>
            </w:r>
          </w:p>
        </w:tc>
        <w:tc>
          <w:tcPr>
            <w:cnfStyle w:val="000010000000"/>
            <w:tcW w:w="3071" w:type="dxa"/>
          </w:tcPr>
          <w:p w:rsidR="0059776C" w:rsidRPr="00843FEE" w:rsidRDefault="0059776C" w:rsidP="009C7100">
            <w:pPr>
              <w:jc w:val="left"/>
              <w:rPr>
                <w:rFonts w:cs="Arial"/>
              </w:rPr>
            </w:pPr>
            <w:r w:rsidRPr="00843FEE">
              <w:rPr>
                <w:rFonts w:cs="Arial"/>
              </w:rPr>
              <w:t>Other grass</w:t>
            </w:r>
          </w:p>
        </w:tc>
        <w:tc>
          <w:tcPr>
            <w:cnfStyle w:val="000100000000"/>
            <w:tcW w:w="3606" w:type="dxa"/>
          </w:tcPr>
          <w:p w:rsidR="0059776C" w:rsidRPr="00843FEE" w:rsidRDefault="0059776C" w:rsidP="009C7100">
            <w:pPr>
              <w:jc w:val="left"/>
              <w:rPr>
                <w:rFonts w:cs="Arial"/>
                <w:b w:val="0"/>
                <w:bCs w:val="0"/>
              </w:rPr>
            </w:pPr>
            <w:r w:rsidRPr="00843FEE">
              <w:rPr>
                <w:rFonts w:cs="Arial"/>
              </w:rPr>
              <w:t>Ostatní trávy</w:t>
            </w:r>
          </w:p>
        </w:tc>
      </w:tr>
      <w:tr w:rsidR="0059776C" w:rsidRPr="00843FEE" w:rsidTr="00D85944">
        <w:trPr>
          <w:cnfStyle w:val="010000000000"/>
        </w:trPr>
        <w:tc>
          <w:tcPr>
            <w:cnfStyle w:val="001000000000"/>
            <w:tcW w:w="3246" w:type="dxa"/>
          </w:tcPr>
          <w:p w:rsidR="0059776C" w:rsidRPr="00843FEE" w:rsidRDefault="0059776C" w:rsidP="009C7100">
            <w:pPr>
              <w:autoSpaceDE w:val="0"/>
              <w:autoSpaceDN w:val="0"/>
              <w:adjustRightInd w:val="0"/>
              <w:jc w:val="left"/>
              <w:rPr>
                <w:rFonts w:cs="Arial"/>
                <w:b w:val="0"/>
                <w:bCs w:val="0"/>
              </w:rPr>
            </w:pPr>
            <w:r w:rsidRPr="00843FEE">
              <w:rPr>
                <w:rFonts w:cs="Arial"/>
              </w:rPr>
              <w:t>Fabaceae Lindl.</w:t>
            </w:r>
          </w:p>
        </w:tc>
        <w:tc>
          <w:tcPr>
            <w:cnfStyle w:val="000010000000"/>
            <w:tcW w:w="3071" w:type="dxa"/>
          </w:tcPr>
          <w:p w:rsidR="0059776C" w:rsidRPr="00843FEE" w:rsidRDefault="0059776C" w:rsidP="009C7100">
            <w:pPr>
              <w:autoSpaceDE w:val="0"/>
              <w:autoSpaceDN w:val="0"/>
              <w:adjustRightInd w:val="0"/>
              <w:jc w:val="left"/>
              <w:rPr>
                <w:rFonts w:cs="Arial"/>
                <w:b w:val="0"/>
                <w:bCs w:val="0"/>
              </w:rPr>
            </w:pPr>
            <w:r w:rsidRPr="00843FEE">
              <w:rPr>
                <w:rFonts w:cs="Arial"/>
              </w:rPr>
              <w:t>Other clovers</w:t>
            </w:r>
          </w:p>
        </w:tc>
        <w:tc>
          <w:tcPr>
            <w:cnfStyle w:val="000100000000"/>
            <w:tcW w:w="3606" w:type="dxa"/>
          </w:tcPr>
          <w:p w:rsidR="0059776C" w:rsidRPr="00843FEE" w:rsidRDefault="0059776C" w:rsidP="009C7100">
            <w:pPr>
              <w:autoSpaceDE w:val="0"/>
              <w:autoSpaceDN w:val="0"/>
              <w:adjustRightInd w:val="0"/>
              <w:jc w:val="left"/>
              <w:rPr>
                <w:rFonts w:cs="Arial"/>
                <w:b w:val="0"/>
                <w:bCs w:val="0"/>
              </w:rPr>
            </w:pPr>
            <w:r w:rsidRPr="00843FEE">
              <w:rPr>
                <w:rFonts w:cs="Arial"/>
              </w:rPr>
              <w:t>Ostatní jeteloviny</w:t>
            </w:r>
          </w:p>
        </w:tc>
      </w:tr>
    </w:tbl>
    <w:p w:rsidR="00C00A8D" w:rsidRPr="00B650C5" w:rsidRDefault="00C00A8D" w:rsidP="009C7100">
      <w:pPr>
        <w:jc w:val="left"/>
        <w:rPr>
          <w:bCs/>
        </w:rPr>
      </w:pPr>
    </w:p>
    <w:sectPr w:rsidR="00C00A8D" w:rsidRPr="00B650C5" w:rsidSect="005F6BDC">
      <w:footerReference w:type="default" r:id="rId40"/>
      <w:pgSz w:w="11906" w:h="16838"/>
      <w:pgMar w:top="1417" w:right="1417" w:bottom="1134" w:left="1417"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23AE" w:rsidRDefault="006023AE">
      <w:r>
        <w:separator/>
      </w:r>
    </w:p>
  </w:endnote>
  <w:endnote w:type="continuationSeparator" w:id="1">
    <w:p w:rsidR="006023AE" w:rsidRDefault="006023A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BNNIKC+Arial">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292847"/>
      <w:docPartObj>
        <w:docPartGallery w:val="Page Numbers (Bottom of Page)"/>
        <w:docPartUnique/>
      </w:docPartObj>
    </w:sdtPr>
    <w:sdtContent>
      <w:p w:rsidR="00211196" w:rsidRDefault="002A0101">
        <w:pPr>
          <w:pStyle w:val="Fuzeile"/>
          <w:jc w:val="right"/>
        </w:pPr>
        <w:fldSimple w:instr=" PAGE   \* MERGEFORMAT ">
          <w:r w:rsidR="00FB50BA">
            <w:rPr>
              <w:noProof/>
            </w:rPr>
            <w:t>28</w:t>
          </w:r>
        </w:fldSimple>
      </w:p>
    </w:sdtContent>
  </w:sdt>
  <w:p w:rsidR="00211196" w:rsidRDefault="0021119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23AE" w:rsidRDefault="006023AE">
      <w:r>
        <w:separator/>
      </w:r>
    </w:p>
  </w:footnote>
  <w:footnote w:type="continuationSeparator" w:id="1">
    <w:p w:rsidR="006023AE" w:rsidRDefault="006023AE">
      <w:r>
        <w:continuationSeparator/>
      </w:r>
    </w:p>
  </w:footnote>
  <w:footnote w:id="2">
    <w:p w:rsidR="00211196" w:rsidRPr="00516104" w:rsidRDefault="00211196" w:rsidP="00705EEE">
      <w:pPr>
        <w:pStyle w:val="Funotentext"/>
        <w:spacing w:after="0"/>
        <w:jc w:val="left"/>
        <w:rPr>
          <w:rFonts w:ascii="Arial" w:hAnsi="Arial" w:cs="Arial"/>
          <w:sz w:val="18"/>
          <w:szCs w:val="18"/>
          <w:lang w:val="en-US"/>
        </w:rPr>
      </w:pPr>
      <w:r w:rsidRPr="00516104">
        <w:rPr>
          <w:rStyle w:val="Funotenzeichen"/>
          <w:rFonts w:ascii="Arial" w:hAnsi="Arial" w:cs="Arial"/>
        </w:rPr>
        <w:footnoteRef/>
      </w:r>
      <w:r w:rsidRPr="00516104">
        <w:rPr>
          <w:rFonts w:ascii="Arial" w:hAnsi="Arial" w:cs="Arial"/>
          <w:sz w:val="18"/>
          <w:szCs w:val="18"/>
          <w:lang w:val="en-US"/>
        </w:rPr>
        <w:t xml:space="preserve">Available at: </w:t>
      </w:r>
      <w:hyperlink r:id="rId1" w:history="1">
        <w:r w:rsidRPr="00516104">
          <w:rPr>
            <w:rStyle w:val="Hyperlink"/>
            <w:rFonts w:ascii="Arial" w:hAnsi="Arial" w:cs="Arial"/>
            <w:sz w:val="18"/>
            <w:szCs w:val="18"/>
            <w:lang w:val="en-US"/>
          </w:rPr>
          <w:t>http://web.worldbank.org/WBSITE/EXTERNAL/NEWS/0,,contentMDK:22802799~pagePK:64257043~piPK:437376~theSitePK:4607,00.html</w:t>
        </w:r>
      </w:hyperlink>
      <w:r w:rsidRPr="00516104">
        <w:rPr>
          <w:rFonts w:ascii="Arial" w:hAnsi="Arial" w:cs="Arial"/>
          <w:sz w:val="18"/>
          <w:szCs w:val="18"/>
          <w:lang w:val="en-US"/>
        </w:rPr>
        <w:t xml:space="preserve"> [cit. 22-02-2011]</w:t>
      </w:r>
    </w:p>
  </w:footnote>
  <w:footnote w:id="3">
    <w:p w:rsidR="00211196" w:rsidRPr="00516104" w:rsidRDefault="00211196" w:rsidP="00852C52">
      <w:pPr>
        <w:pStyle w:val="Funotentext"/>
        <w:spacing w:after="0"/>
        <w:rPr>
          <w:rFonts w:ascii="Arial" w:hAnsi="Arial" w:cs="Arial"/>
          <w:sz w:val="18"/>
          <w:szCs w:val="18"/>
          <w:lang w:val="en-US"/>
        </w:rPr>
      </w:pPr>
      <w:r w:rsidRPr="00516104">
        <w:rPr>
          <w:rStyle w:val="Funotenzeichen"/>
          <w:rFonts w:ascii="Arial" w:hAnsi="Arial" w:cs="Arial"/>
        </w:rPr>
        <w:footnoteRef/>
      </w:r>
      <w:r w:rsidRPr="00516104">
        <w:rPr>
          <w:rFonts w:ascii="Arial" w:hAnsi="Arial" w:cs="Arial"/>
          <w:lang w:val="en-US"/>
        </w:rPr>
        <w:t xml:space="preserve"> </w:t>
      </w:r>
      <w:r w:rsidRPr="00516104">
        <w:rPr>
          <w:rFonts w:ascii="Arial" w:hAnsi="Arial" w:cs="Arial"/>
          <w:sz w:val="18"/>
          <w:szCs w:val="18"/>
          <w:lang w:val="en-US"/>
        </w:rPr>
        <w:t xml:space="preserve">Available at: </w:t>
      </w:r>
      <w:hyperlink r:id="rId2" w:history="1">
        <w:r w:rsidRPr="00516104">
          <w:rPr>
            <w:rStyle w:val="Hyperlink"/>
            <w:rFonts w:ascii="Arial" w:hAnsi="Arial" w:cs="Arial"/>
            <w:sz w:val="18"/>
            <w:szCs w:val="18"/>
            <w:lang w:val="en-US"/>
          </w:rPr>
          <w:t>http://www.un.org/apps/news/story.asp?NewsID=37570&amp;Cr=food+prices&amp;Cr1</w:t>
        </w:r>
      </w:hyperlink>
      <w:r w:rsidRPr="00516104">
        <w:rPr>
          <w:rFonts w:ascii="Arial" w:hAnsi="Arial" w:cs="Arial"/>
          <w:sz w:val="18"/>
          <w:szCs w:val="18"/>
          <w:lang w:val="en-US"/>
        </w:rPr>
        <w:t>=[cit. 22-02-2011]</w:t>
      </w:r>
    </w:p>
  </w:footnote>
  <w:footnote w:id="4">
    <w:p w:rsidR="00211196" w:rsidRPr="005D4A9E" w:rsidRDefault="00211196" w:rsidP="005D4A9E">
      <w:pPr>
        <w:pStyle w:val="Funotentext"/>
        <w:rPr>
          <w:rFonts w:ascii="Arial" w:hAnsi="Arial" w:cs="Arial"/>
          <w:bCs/>
          <w:sz w:val="18"/>
          <w:szCs w:val="18"/>
          <w:lang w:val="en-US"/>
        </w:rPr>
      </w:pPr>
      <w:r w:rsidRPr="005D4A9E">
        <w:rPr>
          <w:rStyle w:val="Funotenzeichen"/>
          <w:rFonts w:ascii="Arial" w:hAnsi="Arial" w:cs="Arial"/>
          <w:sz w:val="18"/>
          <w:szCs w:val="18"/>
        </w:rPr>
        <w:footnoteRef/>
      </w:r>
      <w:r w:rsidRPr="005D4A9E">
        <w:rPr>
          <w:rFonts w:ascii="Arial" w:hAnsi="Arial" w:cs="Arial"/>
          <w:sz w:val="18"/>
          <w:szCs w:val="18"/>
          <w:lang w:val="en-US"/>
        </w:rPr>
        <w:t xml:space="preserve"> D</w:t>
      </w:r>
      <w:r w:rsidR="005D4A9E" w:rsidRPr="005D4A9E">
        <w:rPr>
          <w:rFonts w:ascii="Arial" w:hAnsi="Arial" w:cs="Arial"/>
          <w:bCs/>
          <w:sz w:val="18"/>
          <w:szCs w:val="18"/>
          <w:lang w:val="en-US"/>
        </w:rPr>
        <w:t>ata source: FAOSTAT</w:t>
      </w:r>
    </w:p>
  </w:footnote>
  <w:footnote w:id="5">
    <w:p w:rsidR="00211196" w:rsidRPr="005D4A9E" w:rsidRDefault="00211196">
      <w:pPr>
        <w:pStyle w:val="Funotentext"/>
        <w:rPr>
          <w:rFonts w:ascii="Arial" w:hAnsi="Arial" w:cs="Arial"/>
          <w:sz w:val="18"/>
          <w:szCs w:val="18"/>
          <w:lang w:val="cs-CZ"/>
        </w:rPr>
      </w:pPr>
      <w:r w:rsidRPr="005D4A9E">
        <w:rPr>
          <w:rStyle w:val="Funotenzeichen"/>
          <w:rFonts w:ascii="Arial" w:hAnsi="Arial" w:cs="Arial"/>
          <w:sz w:val="18"/>
          <w:szCs w:val="18"/>
        </w:rPr>
        <w:footnoteRef/>
      </w:r>
      <w:r w:rsidRPr="005D4A9E">
        <w:rPr>
          <w:rFonts w:ascii="Arial" w:hAnsi="Arial" w:cs="Arial"/>
          <w:sz w:val="18"/>
          <w:szCs w:val="18"/>
          <w:lang w:val="en-US"/>
        </w:rPr>
        <w:t xml:space="preserve"> 1 US gallon = 3.78541178 liters</w:t>
      </w:r>
    </w:p>
  </w:footnote>
  <w:footnote w:id="6">
    <w:p w:rsidR="00211196" w:rsidRPr="005D4A9E" w:rsidRDefault="00211196" w:rsidP="00852C52">
      <w:pPr>
        <w:spacing w:after="0" w:line="240" w:lineRule="auto"/>
        <w:rPr>
          <w:rFonts w:cs="Arial"/>
          <w:sz w:val="18"/>
          <w:szCs w:val="18"/>
        </w:rPr>
      </w:pPr>
      <w:r w:rsidRPr="005D4A9E">
        <w:rPr>
          <w:rStyle w:val="Funotenzeichen"/>
          <w:rFonts w:cs="Arial"/>
          <w:sz w:val="18"/>
          <w:szCs w:val="18"/>
        </w:rPr>
        <w:footnoteRef/>
      </w:r>
      <w:r w:rsidRPr="005D4A9E">
        <w:rPr>
          <w:rFonts w:cs="Arial"/>
          <w:sz w:val="18"/>
          <w:szCs w:val="18"/>
        </w:rPr>
        <w:t xml:space="preserve"> </w:t>
      </w:r>
      <w:hyperlink r:id="rId3" w:history="1">
        <w:r w:rsidRPr="005D4A9E">
          <w:rPr>
            <w:rStyle w:val="Hyperlink"/>
            <w:rFonts w:cs="Arial"/>
            <w:sz w:val="18"/>
            <w:szCs w:val="18"/>
          </w:rPr>
          <w:t>http://www.biofuelstp.eu/global_overview.html</w:t>
        </w:r>
      </w:hyperlink>
    </w:p>
  </w:footnote>
  <w:footnote w:id="7">
    <w:p w:rsidR="00211196" w:rsidRPr="005D4A9E" w:rsidRDefault="00211196" w:rsidP="00852C52">
      <w:pPr>
        <w:pStyle w:val="Funotentext"/>
        <w:spacing w:after="0"/>
        <w:rPr>
          <w:rFonts w:ascii="Arial" w:hAnsi="Arial" w:cs="Arial"/>
          <w:sz w:val="18"/>
          <w:szCs w:val="18"/>
          <w:lang w:val="cs-CZ"/>
        </w:rPr>
      </w:pPr>
      <w:r w:rsidRPr="005D4A9E">
        <w:rPr>
          <w:rStyle w:val="Funotenzeichen"/>
          <w:rFonts w:ascii="Arial" w:hAnsi="Arial" w:cs="Arial"/>
          <w:sz w:val="18"/>
          <w:szCs w:val="18"/>
        </w:rPr>
        <w:footnoteRef/>
      </w:r>
      <w:r w:rsidRPr="005D4A9E">
        <w:rPr>
          <w:rFonts w:ascii="Arial" w:hAnsi="Arial" w:cs="Arial"/>
          <w:sz w:val="18"/>
          <w:szCs w:val="18"/>
          <w:lang w:val="cs-CZ"/>
        </w:rPr>
        <w:t xml:space="preserve"> </w:t>
      </w:r>
      <w:hyperlink r:id="rId4" w:history="1">
        <w:r w:rsidRPr="005D4A9E">
          <w:rPr>
            <w:rStyle w:val="Hyperlink"/>
            <w:rFonts w:ascii="Arial" w:hAnsi="Arial" w:cs="Arial"/>
            <w:sz w:val="18"/>
            <w:szCs w:val="18"/>
            <w:lang w:val="cs-CZ"/>
          </w:rPr>
          <w:t>http://www.ethanolrfa.org/pages/ethanol-facts</w:t>
        </w:r>
      </w:hyperlink>
    </w:p>
  </w:footnote>
  <w:footnote w:id="8">
    <w:p w:rsidR="00211196" w:rsidRPr="005D4A9E" w:rsidRDefault="00211196" w:rsidP="00852C52">
      <w:pPr>
        <w:spacing w:after="0" w:line="240" w:lineRule="auto"/>
        <w:rPr>
          <w:rFonts w:cs="Arial"/>
          <w:sz w:val="18"/>
          <w:szCs w:val="18"/>
        </w:rPr>
      </w:pPr>
      <w:r w:rsidRPr="005D4A9E">
        <w:rPr>
          <w:rStyle w:val="Funotenzeichen"/>
          <w:rFonts w:cs="Arial"/>
          <w:sz w:val="18"/>
          <w:szCs w:val="18"/>
        </w:rPr>
        <w:footnoteRef/>
      </w:r>
      <w:r w:rsidRPr="005D4A9E">
        <w:rPr>
          <w:rFonts w:cs="Arial"/>
          <w:sz w:val="18"/>
          <w:szCs w:val="18"/>
        </w:rPr>
        <w:t xml:space="preserve"> That means that global biofuels</w:t>
      </w:r>
      <w:r w:rsidRPr="005D4A9E">
        <w:rPr>
          <w:rFonts w:cs="Arial"/>
          <w:sz w:val="18"/>
          <w:szCs w:val="18"/>
          <w:lang w:val="en-US"/>
        </w:rPr>
        <w:t>’</w:t>
      </w:r>
      <w:r w:rsidRPr="005D4A9E">
        <w:rPr>
          <w:rFonts w:cs="Arial"/>
          <w:sz w:val="18"/>
          <w:szCs w:val="18"/>
        </w:rPr>
        <w:t xml:space="preserve"> industry produces around 85% of bioethanol and about 15% of biodiesel. For more information see: </w:t>
      </w:r>
      <w:hyperlink r:id="rId5" w:history="1">
        <w:r w:rsidRPr="005D4A9E">
          <w:rPr>
            <w:rStyle w:val="Hyperlink"/>
            <w:rFonts w:cs="Arial"/>
            <w:sz w:val="18"/>
            <w:szCs w:val="18"/>
          </w:rPr>
          <w:t>http://www.earth-policy.org/data_center/C23</w:t>
        </w:r>
      </w:hyperlink>
      <w:r w:rsidRPr="005D4A9E">
        <w:rPr>
          <w:rFonts w:cs="Arial"/>
          <w:sz w:val="18"/>
          <w:szCs w:val="18"/>
        </w:rPr>
        <w:t xml:space="preserve">. In 2003 an estimation of agricultural land for biomass sources was about 1.6 million ha in the EU-15. </w:t>
      </w:r>
    </w:p>
  </w:footnote>
  <w:footnote w:id="9">
    <w:p w:rsidR="00211196" w:rsidRPr="005D4A9E" w:rsidRDefault="00211196" w:rsidP="00852C52">
      <w:pPr>
        <w:pStyle w:val="Funotentext"/>
        <w:spacing w:after="0"/>
        <w:rPr>
          <w:rFonts w:ascii="Arial" w:hAnsi="Arial" w:cs="Arial"/>
          <w:sz w:val="18"/>
          <w:szCs w:val="18"/>
          <w:lang w:val="cs-CZ"/>
        </w:rPr>
      </w:pPr>
      <w:r w:rsidRPr="005D4A9E">
        <w:rPr>
          <w:rStyle w:val="Funotenzeichen"/>
          <w:rFonts w:ascii="Arial" w:hAnsi="Arial" w:cs="Arial"/>
          <w:sz w:val="18"/>
          <w:szCs w:val="18"/>
        </w:rPr>
        <w:footnoteRef/>
      </w:r>
      <w:hyperlink r:id="rId6" w:history="1">
        <w:r w:rsidRPr="005D4A9E">
          <w:rPr>
            <w:rStyle w:val="Hyperlink"/>
            <w:rFonts w:ascii="Arial" w:hAnsi="Arial" w:cs="Arial"/>
            <w:sz w:val="18"/>
            <w:szCs w:val="18"/>
            <w:lang w:val="cs-CZ"/>
          </w:rPr>
          <w:t>https://wcd.coe.int/wcd/com.instranet.InstraServlet?command=com.instranet.CmdBlobGet&amp;InstranetImage=1647916&amp;SecMode=1&amp;DocId=1614426&amp;Usage=2</w:t>
        </w:r>
      </w:hyperlink>
      <w:r w:rsidRPr="005D4A9E">
        <w:rPr>
          <w:rFonts w:ascii="Arial" w:hAnsi="Arial" w:cs="Arial"/>
          <w:sz w:val="18"/>
          <w:szCs w:val="18"/>
          <w:lang w:val="cs-CZ"/>
        </w:rPr>
        <w:t xml:space="preserve"> </w:t>
      </w:r>
    </w:p>
  </w:footnote>
  <w:footnote w:id="10">
    <w:p w:rsidR="00211196" w:rsidRPr="00516104" w:rsidRDefault="00211196" w:rsidP="005848FD">
      <w:pPr>
        <w:rPr>
          <w:sz w:val="18"/>
          <w:szCs w:val="18"/>
          <w:lang w:val="en-US"/>
        </w:rPr>
      </w:pPr>
      <w:r w:rsidRPr="00516104">
        <w:rPr>
          <w:rStyle w:val="Funotenzeichen"/>
          <w:sz w:val="18"/>
          <w:szCs w:val="18"/>
        </w:rPr>
        <w:footnoteRef/>
      </w:r>
      <w:r w:rsidRPr="00516104">
        <w:rPr>
          <w:sz w:val="18"/>
          <w:szCs w:val="18"/>
        </w:rPr>
        <w:t xml:space="preserve"> </w:t>
      </w:r>
      <w:r w:rsidRPr="00516104">
        <w:rPr>
          <w:sz w:val="18"/>
          <w:szCs w:val="18"/>
          <w:lang w:val="en-US"/>
        </w:rPr>
        <w:t>Data source: compiled by Earth Policy Institute with data for 1975-1998 from F.O. Licht, World Ethanol and Biofuels Report, vol. 6, no. 4 (23 October 2007), p. 63; 1999-2005 from F.O. Licht, World Ethanol and Biofuels Report, vol. 7, no. 18 (26 May 2009), p. 3; 2006-2010 from F.O. Licht, World Ethanol and Biofuels Report, vol. 8, no. 16 (28 April 2010), p. 328.; 2010 is an estimation)</w:t>
      </w:r>
    </w:p>
  </w:footnote>
  <w:footnote w:id="11">
    <w:p w:rsidR="00211196" w:rsidRPr="00F4203F" w:rsidRDefault="00211196" w:rsidP="00EA4BA0">
      <w:pPr>
        <w:pStyle w:val="Funotentext"/>
        <w:rPr>
          <w:rFonts w:ascii="Arial" w:hAnsi="Arial" w:cs="Arial"/>
          <w:bCs/>
          <w:sz w:val="18"/>
          <w:szCs w:val="18"/>
          <w:lang w:val="cs-CZ"/>
        </w:rPr>
      </w:pPr>
      <w:r w:rsidRPr="00F4203F">
        <w:rPr>
          <w:rStyle w:val="Funotenzeichen"/>
          <w:rFonts w:ascii="Arial" w:hAnsi="Arial" w:cs="Arial"/>
          <w:sz w:val="18"/>
          <w:szCs w:val="18"/>
        </w:rPr>
        <w:footnoteRef/>
      </w:r>
      <w:r w:rsidRPr="00F4203F">
        <w:rPr>
          <w:rFonts w:ascii="Arial" w:hAnsi="Arial" w:cs="Arial"/>
          <w:sz w:val="18"/>
          <w:szCs w:val="18"/>
        </w:rPr>
        <w:t xml:space="preserve"> </w:t>
      </w:r>
      <w:r w:rsidRPr="00F4203F">
        <w:rPr>
          <w:rFonts w:ascii="Arial" w:hAnsi="Arial" w:cs="Arial"/>
          <w:bCs/>
          <w:sz w:val="18"/>
          <w:szCs w:val="18"/>
          <w:lang w:val="cs-CZ"/>
        </w:rPr>
        <w:t xml:space="preserve">Source: </w:t>
      </w:r>
      <w:r w:rsidRPr="00F4203F">
        <w:rPr>
          <w:rFonts w:ascii="Arial" w:hAnsi="Arial" w:cs="Arial"/>
          <w:sz w:val="18"/>
          <w:szCs w:val="18"/>
          <w:lang w:val="cs-CZ"/>
        </w:rPr>
        <w:t>Reinhardt and von Falkenstein (2010, p. 4)</w:t>
      </w:r>
    </w:p>
    <w:p w:rsidR="00211196" w:rsidRPr="00EA4BA0" w:rsidRDefault="00211196">
      <w:pPr>
        <w:pStyle w:val="Funotentext"/>
        <w:rPr>
          <w:lang w:val="cs-CZ"/>
        </w:rPr>
      </w:pPr>
    </w:p>
  </w:footnote>
  <w:footnote w:id="12">
    <w:p w:rsidR="00211196" w:rsidRPr="00EF163C" w:rsidRDefault="00211196">
      <w:pPr>
        <w:pStyle w:val="Funotentext"/>
        <w:rPr>
          <w:rFonts w:ascii="Arial" w:hAnsi="Arial" w:cs="Arial"/>
          <w:sz w:val="18"/>
          <w:szCs w:val="18"/>
          <w:lang w:val="en-US"/>
        </w:rPr>
      </w:pPr>
      <w:r w:rsidRPr="00EF163C">
        <w:rPr>
          <w:rStyle w:val="Funotenzeichen"/>
          <w:rFonts w:ascii="Arial" w:hAnsi="Arial" w:cs="Arial"/>
          <w:sz w:val="18"/>
          <w:szCs w:val="18"/>
        </w:rPr>
        <w:footnoteRef/>
      </w:r>
      <w:r w:rsidRPr="00EF163C">
        <w:rPr>
          <w:rFonts w:ascii="Arial" w:hAnsi="Arial" w:cs="Arial"/>
          <w:sz w:val="18"/>
          <w:szCs w:val="18"/>
          <w:lang w:val="en-US"/>
        </w:rPr>
        <w:t xml:space="preserve"> Available at: </w:t>
      </w:r>
      <w:hyperlink r:id="rId7" w:history="1">
        <w:r w:rsidRPr="00EF163C">
          <w:rPr>
            <w:rStyle w:val="Hyperlink"/>
            <w:rFonts w:ascii="Arial" w:hAnsi="Arial" w:cs="Arial"/>
            <w:sz w:val="18"/>
            <w:szCs w:val="18"/>
            <w:lang w:val="en-US"/>
          </w:rPr>
          <w:t>http://www.iogen.ca/company/demo_plant/index.html</w:t>
        </w:r>
      </w:hyperlink>
      <w:r w:rsidRPr="00EF163C">
        <w:rPr>
          <w:rFonts w:ascii="Arial" w:hAnsi="Arial" w:cs="Arial"/>
          <w:sz w:val="18"/>
          <w:szCs w:val="18"/>
          <w:lang w:val="en-US"/>
        </w:rPr>
        <w:t xml:space="preserve"> [cit. 23.05.2011]</w:t>
      </w:r>
    </w:p>
  </w:footnote>
  <w:footnote w:id="13">
    <w:p w:rsidR="00211196" w:rsidRPr="00516104" w:rsidRDefault="00211196" w:rsidP="00181A91">
      <w:pPr>
        <w:pStyle w:val="Funotentext"/>
        <w:rPr>
          <w:rFonts w:ascii="Arial" w:hAnsi="Arial" w:cs="Arial"/>
          <w:sz w:val="18"/>
          <w:szCs w:val="18"/>
          <w:lang w:val="en-US"/>
        </w:rPr>
      </w:pPr>
      <w:r w:rsidRPr="00516104">
        <w:rPr>
          <w:rStyle w:val="Funotenzeichen"/>
          <w:rFonts w:ascii="Arial" w:hAnsi="Arial" w:cs="Arial"/>
          <w:sz w:val="18"/>
          <w:szCs w:val="18"/>
        </w:rPr>
        <w:footnoteRef/>
      </w:r>
      <w:r w:rsidRPr="00516104">
        <w:rPr>
          <w:rFonts w:ascii="Arial" w:hAnsi="Arial" w:cs="Arial"/>
          <w:sz w:val="18"/>
          <w:szCs w:val="18"/>
          <w:lang w:val="en-US"/>
        </w:rPr>
        <w:t xml:space="preserve"> Association of Southeast Asian Nations</w:t>
      </w:r>
    </w:p>
  </w:footnote>
  <w:footnote w:id="14">
    <w:p w:rsidR="00211196" w:rsidRPr="00516104" w:rsidRDefault="00211196" w:rsidP="00181A91">
      <w:pPr>
        <w:pStyle w:val="Funotentext"/>
        <w:rPr>
          <w:rFonts w:ascii="Arial" w:hAnsi="Arial" w:cs="Arial"/>
          <w:sz w:val="18"/>
          <w:szCs w:val="18"/>
          <w:lang w:val="en-US"/>
        </w:rPr>
      </w:pPr>
      <w:r w:rsidRPr="00516104">
        <w:rPr>
          <w:rStyle w:val="Funotenzeichen"/>
          <w:rFonts w:ascii="Arial" w:hAnsi="Arial" w:cs="Arial"/>
          <w:sz w:val="18"/>
          <w:szCs w:val="18"/>
        </w:rPr>
        <w:footnoteRef/>
      </w:r>
      <w:r w:rsidRPr="00516104">
        <w:rPr>
          <w:rFonts w:ascii="Arial" w:hAnsi="Arial" w:cs="Arial"/>
          <w:sz w:val="18"/>
          <w:szCs w:val="18"/>
          <w:lang w:val="en-US"/>
        </w:rPr>
        <w:t xml:space="preserve"> Roundtable of Sustainable Palm oil</w:t>
      </w:r>
    </w:p>
  </w:footnote>
  <w:footnote w:id="15">
    <w:p w:rsidR="00211196" w:rsidRPr="003C62CC" w:rsidRDefault="00211196">
      <w:pPr>
        <w:pStyle w:val="Funotentext"/>
        <w:rPr>
          <w:rFonts w:ascii="Arial" w:hAnsi="Arial" w:cs="Arial"/>
          <w:sz w:val="18"/>
          <w:szCs w:val="18"/>
          <w:lang w:val="en-US"/>
        </w:rPr>
      </w:pPr>
      <w:r w:rsidRPr="00B67D73">
        <w:rPr>
          <w:rStyle w:val="Funotenzeichen"/>
          <w:rFonts w:ascii="Arial" w:hAnsi="Arial" w:cs="Arial"/>
          <w:sz w:val="18"/>
          <w:szCs w:val="18"/>
        </w:rPr>
        <w:footnoteRef/>
      </w:r>
      <w:r w:rsidRPr="003C62CC">
        <w:rPr>
          <w:rFonts w:ascii="Arial" w:hAnsi="Arial" w:cs="Arial"/>
          <w:sz w:val="18"/>
          <w:szCs w:val="18"/>
          <w:lang w:val="en-US"/>
        </w:rPr>
        <w:t xml:space="preserve"> Gartelgruber 2009, p.87</w:t>
      </w:r>
    </w:p>
  </w:footnote>
  <w:footnote w:id="16">
    <w:p w:rsidR="00211196" w:rsidRPr="00516104" w:rsidRDefault="00211196">
      <w:pPr>
        <w:pStyle w:val="Funotentext"/>
        <w:rPr>
          <w:rFonts w:ascii="Arial" w:hAnsi="Arial" w:cs="Arial"/>
          <w:lang w:val="en-US"/>
        </w:rPr>
      </w:pPr>
      <w:r w:rsidRPr="00516104">
        <w:rPr>
          <w:rStyle w:val="Funotenzeichen"/>
          <w:rFonts w:ascii="Arial" w:hAnsi="Arial" w:cs="Arial"/>
          <w:sz w:val="18"/>
          <w:szCs w:val="18"/>
        </w:rPr>
        <w:footnoteRef/>
      </w:r>
      <w:r w:rsidRPr="00516104">
        <w:rPr>
          <w:rFonts w:ascii="Arial" w:hAnsi="Arial" w:cs="Arial"/>
          <w:sz w:val="18"/>
          <w:szCs w:val="18"/>
          <w:lang w:val="en-US"/>
        </w:rPr>
        <w:t xml:space="preserve"> </w:t>
      </w:r>
      <w:r w:rsidRPr="00516104">
        <w:rPr>
          <w:rFonts w:ascii="Arial" w:hAnsi="Arial" w:cs="Arial"/>
          <w:sz w:val="18"/>
          <w:szCs w:val="18"/>
          <w:lang w:val="en-US" w:eastAsia="de-AT"/>
        </w:rPr>
        <w:t>Gartelgruber 2009, p. 87</w:t>
      </w:r>
    </w:p>
  </w:footnote>
  <w:footnote w:id="17">
    <w:p w:rsidR="00211196" w:rsidRPr="00516104" w:rsidRDefault="00211196" w:rsidP="00181A91">
      <w:pPr>
        <w:pStyle w:val="Funotentext"/>
        <w:rPr>
          <w:rFonts w:ascii="Arial" w:hAnsi="Arial" w:cs="Arial"/>
          <w:sz w:val="18"/>
          <w:szCs w:val="18"/>
          <w:lang w:val="en-US"/>
        </w:rPr>
      </w:pPr>
      <w:r w:rsidRPr="00516104">
        <w:rPr>
          <w:rStyle w:val="Funotenzeichen"/>
          <w:rFonts w:ascii="Arial" w:hAnsi="Arial" w:cs="Arial"/>
          <w:sz w:val="18"/>
          <w:szCs w:val="18"/>
        </w:rPr>
        <w:footnoteRef/>
      </w:r>
      <w:r w:rsidRPr="00516104">
        <w:rPr>
          <w:rFonts w:ascii="Arial" w:hAnsi="Arial" w:cs="Arial"/>
          <w:sz w:val="18"/>
          <w:szCs w:val="18"/>
          <w:lang w:val="en-US"/>
        </w:rPr>
        <w:t xml:space="preserve"> </w:t>
      </w:r>
      <w:r w:rsidRPr="00516104">
        <w:rPr>
          <w:rFonts w:ascii="Arial" w:hAnsi="Arial" w:cs="Arial"/>
          <w:i/>
          <w:iCs/>
          <w:sz w:val="18"/>
          <w:szCs w:val="18"/>
          <w:lang w:val="en-US"/>
        </w:rPr>
        <w:t>International Institute for Applied Systems Analysis</w:t>
      </w:r>
      <w:r w:rsidRPr="00516104">
        <w:rPr>
          <w:rFonts w:ascii="Arial" w:hAnsi="Arial" w:cs="Arial"/>
          <w:sz w:val="18"/>
          <w:szCs w:val="18"/>
          <w:lang w:val="en-US"/>
        </w:rPr>
        <w:t>, Laxenburg Austria</w:t>
      </w:r>
    </w:p>
  </w:footnote>
  <w:footnote w:id="18">
    <w:p w:rsidR="00211196" w:rsidRPr="00516104" w:rsidRDefault="00211196" w:rsidP="00181A91">
      <w:pPr>
        <w:pStyle w:val="Funotentext"/>
        <w:rPr>
          <w:rFonts w:ascii="Arial" w:hAnsi="Arial" w:cs="Arial"/>
          <w:sz w:val="18"/>
          <w:szCs w:val="18"/>
          <w:lang w:val="en-US"/>
        </w:rPr>
      </w:pPr>
      <w:r w:rsidRPr="00516104">
        <w:rPr>
          <w:rStyle w:val="Funotenzeichen"/>
          <w:rFonts w:ascii="Arial" w:hAnsi="Arial" w:cs="Arial"/>
          <w:sz w:val="18"/>
          <w:szCs w:val="18"/>
        </w:rPr>
        <w:footnoteRef/>
      </w:r>
      <w:r w:rsidRPr="00516104">
        <w:rPr>
          <w:rFonts w:ascii="Arial" w:hAnsi="Arial" w:cs="Arial"/>
          <w:sz w:val="18"/>
          <w:szCs w:val="18"/>
          <w:lang w:val="en-US"/>
        </w:rPr>
        <w:t xml:space="preserve"> Miscanthus, switchgrass and reed carnary grass</w:t>
      </w:r>
    </w:p>
  </w:footnote>
  <w:footnote w:id="19">
    <w:p w:rsidR="00211196" w:rsidRPr="00E83F3C" w:rsidRDefault="00211196" w:rsidP="00181A91">
      <w:pPr>
        <w:pStyle w:val="Funotentext"/>
        <w:rPr>
          <w:lang w:val="en-US"/>
        </w:rPr>
      </w:pPr>
      <w:r w:rsidRPr="00516104">
        <w:rPr>
          <w:rStyle w:val="Funotenzeichen"/>
          <w:rFonts w:ascii="Arial" w:hAnsi="Arial" w:cs="Arial"/>
          <w:sz w:val="18"/>
          <w:szCs w:val="18"/>
        </w:rPr>
        <w:footnoteRef/>
      </w:r>
      <w:r w:rsidRPr="00516104">
        <w:rPr>
          <w:rFonts w:ascii="Arial" w:hAnsi="Arial" w:cs="Arial"/>
          <w:sz w:val="18"/>
          <w:szCs w:val="18"/>
          <w:lang w:val="en-US"/>
        </w:rPr>
        <w:t xml:space="preserve"> Poplar, willow and eucalypt</w:t>
      </w:r>
    </w:p>
  </w:footnote>
  <w:footnote w:id="20">
    <w:p w:rsidR="00211196" w:rsidRPr="00516104" w:rsidRDefault="00211196" w:rsidP="00EA4BA0">
      <w:pPr>
        <w:pStyle w:val="Funotentext"/>
        <w:rPr>
          <w:rFonts w:ascii="Arial" w:hAnsi="Arial" w:cs="Arial"/>
          <w:b/>
          <w:bCs/>
          <w:sz w:val="18"/>
          <w:szCs w:val="18"/>
          <w:lang w:val="en-US"/>
        </w:rPr>
      </w:pPr>
      <w:r w:rsidRPr="00516104">
        <w:rPr>
          <w:rStyle w:val="Funotenzeichen"/>
          <w:rFonts w:ascii="Arial" w:hAnsi="Arial" w:cs="Arial"/>
          <w:sz w:val="18"/>
          <w:szCs w:val="18"/>
        </w:rPr>
        <w:footnoteRef/>
      </w:r>
      <w:r w:rsidRPr="00516104">
        <w:rPr>
          <w:rFonts w:ascii="Arial" w:hAnsi="Arial" w:cs="Arial"/>
          <w:sz w:val="18"/>
          <w:szCs w:val="18"/>
          <w:lang w:val="en-US"/>
        </w:rPr>
        <w:t xml:space="preserve"> Fischer, Hizsnyik et al. 2009, p. 127</w:t>
      </w:r>
    </w:p>
    <w:p w:rsidR="00211196" w:rsidRPr="00A92145" w:rsidRDefault="00211196">
      <w:pPr>
        <w:pStyle w:val="Funotentext"/>
        <w:rPr>
          <w:lang w:val="en-US"/>
        </w:rPr>
      </w:pPr>
    </w:p>
  </w:footnote>
  <w:footnote w:id="21">
    <w:p w:rsidR="00211196" w:rsidRPr="00516104" w:rsidRDefault="00211196">
      <w:pPr>
        <w:pStyle w:val="Funotentext"/>
        <w:rPr>
          <w:rFonts w:ascii="Arial" w:hAnsi="Arial" w:cs="Arial"/>
          <w:sz w:val="18"/>
          <w:szCs w:val="18"/>
          <w:lang w:val="en-US"/>
        </w:rPr>
      </w:pPr>
      <w:r w:rsidRPr="00516104">
        <w:rPr>
          <w:rStyle w:val="Funotenzeichen"/>
          <w:rFonts w:ascii="Arial" w:hAnsi="Arial" w:cs="Arial"/>
          <w:sz w:val="18"/>
          <w:szCs w:val="18"/>
        </w:rPr>
        <w:footnoteRef/>
      </w:r>
      <w:r w:rsidRPr="00516104">
        <w:rPr>
          <w:rFonts w:ascii="Arial" w:hAnsi="Arial" w:cs="Arial"/>
          <w:sz w:val="18"/>
          <w:szCs w:val="18"/>
          <w:lang w:val="en-US"/>
        </w:rPr>
        <w:t xml:space="preserve"> See http://www.globalbiofuelscenter.com/NM_Top5.aspx [cit. 13-12-2010]</w:t>
      </w:r>
    </w:p>
  </w:footnote>
  <w:footnote w:id="22">
    <w:p w:rsidR="00211196" w:rsidRPr="00516104" w:rsidRDefault="00211196" w:rsidP="005130E4">
      <w:pPr>
        <w:pStyle w:val="Funotentext"/>
        <w:rPr>
          <w:rFonts w:ascii="Arial" w:hAnsi="Arial" w:cs="Arial"/>
          <w:sz w:val="18"/>
          <w:szCs w:val="18"/>
        </w:rPr>
      </w:pPr>
      <w:r w:rsidRPr="00516104">
        <w:rPr>
          <w:rStyle w:val="Funotenzeichen"/>
          <w:rFonts w:ascii="Arial" w:hAnsi="Arial" w:cs="Arial"/>
          <w:sz w:val="18"/>
          <w:szCs w:val="18"/>
        </w:rPr>
        <w:footnoteRef/>
      </w:r>
      <w:r w:rsidRPr="00516104">
        <w:rPr>
          <w:rFonts w:ascii="Arial" w:hAnsi="Arial" w:cs="Arial"/>
          <w:sz w:val="18"/>
          <w:szCs w:val="18"/>
        </w:rPr>
        <w:t xml:space="preserve"> Source: Agrana Ethanol, Jetzt tankt die Umwelt auf</w:t>
      </w:r>
    </w:p>
  </w:footnote>
  <w:footnote w:id="23">
    <w:p w:rsidR="00211196" w:rsidRPr="00516104" w:rsidRDefault="00211196" w:rsidP="00D610E7">
      <w:pPr>
        <w:pStyle w:val="Funotentext"/>
        <w:rPr>
          <w:rFonts w:ascii="Arial" w:hAnsi="Arial" w:cs="Arial"/>
          <w:sz w:val="18"/>
          <w:szCs w:val="18"/>
          <w:lang w:val="en-US"/>
        </w:rPr>
      </w:pPr>
      <w:r w:rsidRPr="00516104">
        <w:rPr>
          <w:rStyle w:val="Funotenzeichen"/>
          <w:rFonts w:ascii="Arial" w:hAnsi="Arial" w:cs="Arial"/>
          <w:sz w:val="18"/>
          <w:szCs w:val="18"/>
        </w:rPr>
        <w:footnoteRef/>
      </w:r>
      <w:r w:rsidRPr="00516104">
        <w:rPr>
          <w:rFonts w:ascii="Arial" w:hAnsi="Arial" w:cs="Arial"/>
          <w:sz w:val="18"/>
          <w:szCs w:val="18"/>
          <w:lang w:val="en-US"/>
        </w:rPr>
        <w:t xml:space="preserve"> Mineralölsteuer (petroleum tax)</w:t>
      </w:r>
    </w:p>
  </w:footnote>
  <w:footnote w:id="24">
    <w:p w:rsidR="00211196" w:rsidRPr="00516104" w:rsidRDefault="00211196" w:rsidP="00C00A8D">
      <w:pPr>
        <w:pStyle w:val="Funotentext"/>
        <w:spacing w:after="0"/>
        <w:rPr>
          <w:rFonts w:ascii="Arial" w:hAnsi="Arial" w:cs="Arial"/>
          <w:sz w:val="18"/>
          <w:szCs w:val="18"/>
          <w:lang w:val="en-US"/>
        </w:rPr>
      </w:pPr>
      <w:r w:rsidRPr="00516104">
        <w:rPr>
          <w:rStyle w:val="Funotenzeichen"/>
          <w:rFonts w:ascii="Arial" w:hAnsi="Arial" w:cs="Arial"/>
          <w:sz w:val="18"/>
          <w:szCs w:val="18"/>
        </w:rPr>
        <w:footnoteRef/>
      </w:r>
      <w:r w:rsidRPr="00516104">
        <w:rPr>
          <w:rFonts w:ascii="Arial" w:hAnsi="Arial" w:cs="Arial"/>
          <w:sz w:val="18"/>
          <w:szCs w:val="18"/>
          <w:lang w:val="en-US"/>
        </w:rPr>
        <w:t xml:space="preserve"> It has the statistical significance at 1% probability level and R-squared was 0.952819. </w:t>
      </w:r>
    </w:p>
  </w:footnote>
  <w:footnote w:id="25">
    <w:p w:rsidR="00211196" w:rsidRPr="00516104" w:rsidRDefault="00211196" w:rsidP="0090443B">
      <w:pPr>
        <w:pStyle w:val="Funotentext"/>
        <w:rPr>
          <w:rFonts w:ascii="Arial" w:hAnsi="Arial" w:cs="Arial"/>
          <w:sz w:val="18"/>
          <w:szCs w:val="18"/>
          <w:lang w:val="en-US"/>
        </w:rPr>
      </w:pPr>
      <w:r w:rsidRPr="00516104">
        <w:rPr>
          <w:rStyle w:val="Funotenzeichen"/>
          <w:rFonts w:ascii="Arial" w:hAnsi="Arial" w:cs="Arial"/>
          <w:sz w:val="18"/>
          <w:szCs w:val="18"/>
          <w:lang w:val="en-US"/>
        </w:rPr>
        <w:footnoteRef/>
      </w:r>
      <w:r w:rsidRPr="00516104">
        <w:rPr>
          <w:rFonts w:ascii="Arial" w:hAnsi="Arial" w:cs="Arial"/>
          <w:sz w:val="18"/>
          <w:szCs w:val="18"/>
          <w:lang w:val="en-US"/>
        </w:rPr>
        <w:t xml:space="preserve"> PREOL websites: http://www.preol.cz/info-pro-verejnost/bilance-sklenikovych-plynu/ [cit. 13-12-2010], in terms of </w:t>
      </w:r>
      <w:r w:rsidRPr="00516104">
        <w:rPr>
          <w:rFonts w:ascii="Arial" w:hAnsi="Arial" w:cs="Arial"/>
          <w:bCs/>
          <w:iCs/>
          <w:sz w:val="18"/>
          <w:szCs w:val="18"/>
          <w:lang w:val="en-US" w:eastAsia="cs-CZ"/>
        </w:rPr>
        <w:t>gCO2eq/kg: it is in total 1680 gCO2eq/kg, from which 1073 gCO2eq/kg counts for the cultivation of rapeseed, 203 gCO2eq/kg for the production of rapeseed oil, 367 gCO2eq/kg for the production of FAME and 37 gCO2eq/kg for the transportation and distribution.</w:t>
      </w:r>
    </w:p>
  </w:footnote>
  <w:footnote w:id="26">
    <w:p w:rsidR="00211196" w:rsidRPr="00516104" w:rsidRDefault="00211196">
      <w:pPr>
        <w:pStyle w:val="Funotentext"/>
        <w:rPr>
          <w:rFonts w:ascii="Arial" w:hAnsi="Arial" w:cs="Arial"/>
          <w:sz w:val="18"/>
          <w:szCs w:val="18"/>
          <w:lang w:val="cs-CZ"/>
        </w:rPr>
      </w:pPr>
      <w:r w:rsidRPr="00516104">
        <w:rPr>
          <w:rStyle w:val="Funotenzeichen"/>
          <w:rFonts w:ascii="Arial" w:hAnsi="Arial" w:cs="Arial"/>
          <w:sz w:val="18"/>
          <w:szCs w:val="18"/>
        </w:rPr>
        <w:footnoteRef/>
      </w:r>
      <w:r w:rsidRPr="00516104">
        <w:rPr>
          <w:rFonts w:ascii="Arial" w:hAnsi="Arial" w:cs="Arial"/>
          <w:sz w:val="18"/>
          <w:szCs w:val="18"/>
          <w:lang w:val="en-US"/>
        </w:rPr>
        <w:t xml:space="preserve"> Data source: ČSÚ, Czech Statistical Office)</w:t>
      </w:r>
    </w:p>
  </w:footnote>
  <w:footnote w:id="27">
    <w:p w:rsidR="00211196" w:rsidRPr="00516104" w:rsidRDefault="00211196">
      <w:pPr>
        <w:pStyle w:val="Funotentext"/>
        <w:rPr>
          <w:rFonts w:ascii="Arial" w:hAnsi="Arial" w:cs="Arial"/>
          <w:sz w:val="18"/>
          <w:szCs w:val="18"/>
          <w:lang w:val="en-US"/>
        </w:rPr>
      </w:pPr>
      <w:r w:rsidRPr="00516104">
        <w:rPr>
          <w:rStyle w:val="Funotenzeichen"/>
          <w:rFonts w:ascii="Arial" w:hAnsi="Arial" w:cs="Arial"/>
          <w:sz w:val="18"/>
          <w:szCs w:val="18"/>
        </w:rPr>
        <w:footnoteRef/>
      </w:r>
      <w:r w:rsidRPr="00516104">
        <w:rPr>
          <w:rFonts w:ascii="Arial" w:hAnsi="Arial" w:cs="Arial"/>
          <w:sz w:val="18"/>
          <w:szCs w:val="18"/>
          <w:lang w:val="en-US"/>
        </w:rPr>
        <w:t xml:space="preserve"> Source: WorldBioplant</w:t>
      </w:r>
    </w:p>
  </w:footnote>
  <w:footnote w:id="28">
    <w:p w:rsidR="00211196" w:rsidRPr="00516104" w:rsidRDefault="00211196">
      <w:pPr>
        <w:pStyle w:val="Funotentext"/>
        <w:rPr>
          <w:rFonts w:ascii="Arial" w:hAnsi="Arial" w:cs="Arial"/>
          <w:sz w:val="18"/>
          <w:szCs w:val="18"/>
          <w:lang w:val="en-US"/>
        </w:rPr>
      </w:pPr>
      <w:r w:rsidRPr="00516104">
        <w:rPr>
          <w:rStyle w:val="Funotenzeichen"/>
          <w:rFonts w:ascii="Arial" w:hAnsi="Arial" w:cs="Arial"/>
          <w:sz w:val="18"/>
          <w:szCs w:val="18"/>
        </w:rPr>
        <w:footnoteRef/>
      </w:r>
      <w:r w:rsidRPr="00516104">
        <w:rPr>
          <w:rFonts w:ascii="Arial" w:hAnsi="Arial" w:cs="Arial"/>
          <w:sz w:val="18"/>
          <w:szCs w:val="18"/>
          <w:lang w:val="en-US"/>
        </w:rPr>
        <w:t xml:space="preserve"> BIOMAP: http://biomap.kcl.ac.uk/#800003 [cit. 13-12-2010]</w:t>
      </w:r>
    </w:p>
  </w:footnote>
  <w:footnote w:id="29">
    <w:p w:rsidR="00211196" w:rsidRPr="00B67D73" w:rsidRDefault="00211196">
      <w:pPr>
        <w:pStyle w:val="Funotentext"/>
        <w:rPr>
          <w:rFonts w:ascii="Arial" w:hAnsi="Arial" w:cs="Arial"/>
          <w:sz w:val="18"/>
          <w:szCs w:val="18"/>
          <w:lang w:val="en-US"/>
        </w:rPr>
      </w:pPr>
      <w:r w:rsidRPr="00B67D73">
        <w:rPr>
          <w:rStyle w:val="Funotenzeichen"/>
          <w:rFonts w:ascii="Arial" w:hAnsi="Arial" w:cs="Arial"/>
          <w:sz w:val="18"/>
          <w:szCs w:val="18"/>
        </w:rPr>
        <w:footnoteRef/>
      </w:r>
      <w:r w:rsidRPr="00B67D73">
        <w:rPr>
          <w:rFonts w:ascii="Arial" w:hAnsi="Arial" w:cs="Arial"/>
          <w:sz w:val="18"/>
          <w:szCs w:val="18"/>
          <w:lang w:val="en-US"/>
        </w:rPr>
        <w:t xml:space="preserve"> Data source: Ministry of Industry and Trade statistics, Liquid Biofuels</w:t>
      </w:r>
    </w:p>
  </w:footnote>
  <w:footnote w:id="30">
    <w:p w:rsidR="00211196" w:rsidRPr="00B67D73" w:rsidRDefault="00211196">
      <w:pPr>
        <w:pStyle w:val="Funotentext"/>
        <w:rPr>
          <w:rFonts w:ascii="Arial" w:hAnsi="Arial" w:cs="Arial"/>
          <w:sz w:val="18"/>
          <w:szCs w:val="18"/>
          <w:lang w:val="cs-CZ"/>
        </w:rPr>
      </w:pPr>
      <w:r w:rsidRPr="00B67D73">
        <w:rPr>
          <w:rStyle w:val="Funotenzeichen"/>
          <w:rFonts w:ascii="Arial" w:hAnsi="Arial" w:cs="Arial"/>
          <w:sz w:val="18"/>
          <w:szCs w:val="18"/>
        </w:rPr>
        <w:footnoteRef/>
      </w:r>
      <w:r w:rsidRPr="00B67D73">
        <w:rPr>
          <w:rFonts w:ascii="Arial" w:hAnsi="Arial" w:cs="Arial"/>
          <w:sz w:val="18"/>
          <w:szCs w:val="18"/>
          <w:lang w:val="en-US"/>
        </w:rPr>
        <w:t xml:space="preserve"> </w:t>
      </w:r>
      <w:r>
        <w:rPr>
          <w:rFonts w:ascii="Arial" w:hAnsi="Arial" w:cs="Arial"/>
          <w:sz w:val="18"/>
          <w:szCs w:val="18"/>
          <w:lang w:val="en-US"/>
        </w:rPr>
        <w:t>D</w:t>
      </w:r>
      <w:r w:rsidRPr="00B67D73">
        <w:rPr>
          <w:rFonts w:ascii="Arial" w:hAnsi="Arial" w:cs="Arial"/>
          <w:sz w:val="18"/>
          <w:szCs w:val="18"/>
          <w:lang w:val="en-US"/>
        </w:rPr>
        <w:t>ata source: Ministry of Industry and Tr</w:t>
      </w:r>
      <w:r>
        <w:rPr>
          <w:rFonts w:ascii="Arial" w:hAnsi="Arial" w:cs="Arial"/>
          <w:sz w:val="18"/>
          <w:szCs w:val="18"/>
          <w:lang w:val="en-US"/>
        </w:rPr>
        <w:t>ade statistics, Liquid Biofuels</w:t>
      </w:r>
    </w:p>
  </w:footnote>
  <w:footnote w:id="31">
    <w:p w:rsidR="00211196" w:rsidRPr="00B67D73" w:rsidRDefault="00211196">
      <w:pPr>
        <w:pStyle w:val="Funotentext"/>
        <w:rPr>
          <w:rFonts w:ascii="Arial" w:hAnsi="Arial" w:cs="Arial"/>
          <w:sz w:val="18"/>
          <w:szCs w:val="18"/>
          <w:lang w:val="en-US"/>
        </w:rPr>
      </w:pPr>
      <w:r w:rsidRPr="00B67D73">
        <w:rPr>
          <w:rStyle w:val="Funotenzeichen"/>
          <w:rFonts w:ascii="Arial" w:hAnsi="Arial" w:cs="Arial"/>
          <w:sz w:val="18"/>
          <w:szCs w:val="18"/>
        </w:rPr>
        <w:footnoteRef/>
      </w:r>
      <w:r w:rsidRPr="00B67D73">
        <w:rPr>
          <w:rFonts w:ascii="Arial" w:hAnsi="Arial" w:cs="Arial"/>
          <w:sz w:val="18"/>
          <w:szCs w:val="18"/>
          <w:lang w:val="en-US"/>
        </w:rPr>
        <w:t xml:space="preserve"> </w:t>
      </w:r>
      <w:r>
        <w:rPr>
          <w:rFonts w:ascii="Arial" w:hAnsi="Arial" w:cs="Arial"/>
          <w:sz w:val="18"/>
          <w:szCs w:val="18"/>
          <w:lang w:val="en-US"/>
        </w:rPr>
        <w:t>D</w:t>
      </w:r>
      <w:r w:rsidRPr="00B67D73">
        <w:rPr>
          <w:rFonts w:ascii="Arial" w:hAnsi="Arial" w:cs="Arial"/>
          <w:sz w:val="18"/>
          <w:szCs w:val="18"/>
          <w:lang w:val="en-US"/>
        </w:rPr>
        <w:t>ata source: Ministry of Industry and Tr</w:t>
      </w:r>
      <w:r>
        <w:rPr>
          <w:rFonts w:ascii="Arial" w:hAnsi="Arial" w:cs="Arial"/>
          <w:sz w:val="18"/>
          <w:szCs w:val="18"/>
          <w:lang w:val="en-US"/>
        </w:rPr>
        <w:t>ade statistics, Liquid Biofuels</w:t>
      </w:r>
    </w:p>
  </w:footnote>
  <w:footnote w:id="32">
    <w:p w:rsidR="00211196" w:rsidRPr="00B67D73" w:rsidRDefault="00211196">
      <w:pPr>
        <w:pStyle w:val="Funotentext"/>
        <w:rPr>
          <w:rFonts w:ascii="Arial" w:hAnsi="Arial" w:cs="Arial"/>
          <w:sz w:val="18"/>
          <w:szCs w:val="18"/>
          <w:lang w:val="cs-CZ"/>
        </w:rPr>
      </w:pPr>
      <w:r w:rsidRPr="00B67D73">
        <w:rPr>
          <w:rStyle w:val="Funotenzeichen"/>
          <w:rFonts w:ascii="Arial" w:hAnsi="Arial" w:cs="Arial"/>
          <w:sz w:val="18"/>
          <w:szCs w:val="18"/>
        </w:rPr>
        <w:footnoteRef/>
      </w:r>
      <w:r w:rsidRPr="00B67D73">
        <w:rPr>
          <w:rFonts w:ascii="Arial" w:hAnsi="Arial" w:cs="Arial"/>
          <w:sz w:val="18"/>
          <w:szCs w:val="18"/>
          <w:lang w:val="en-US"/>
        </w:rPr>
        <w:t xml:space="preserve"> </w:t>
      </w:r>
      <w:r>
        <w:rPr>
          <w:rFonts w:ascii="Arial" w:hAnsi="Arial" w:cs="Arial"/>
          <w:sz w:val="18"/>
          <w:szCs w:val="18"/>
          <w:lang w:val="en-US"/>
        </w:rPr>
        <w:t>D</w:t>
      </w:r>
      <w:r w:rsidRPr="00B67D73">
        <w:rPr>
          <w:rFonts w:ascii="Arial" w:hAnsi="Arial" w:cs="Arial"/>
          <w:sz w:val="18"/>
          <w:szCs w:val="18"/>
          <w:lang w:val="en-US"/>
        </w:rPr>
        <w:t>ata source: Ministry of Industry and Tr</w:t>
      </w:r>
      <w:r>
        <w:rPr>
          <w:rFonts w:ascii="Arial" w:hAnsi="Arial" w:cs="Arial"/>
          <w:sz w:val="18"/>
          <w:szCs w:val="18"/>
          <w:lang w:val="en-US"/>
        </w:rPr>
        <w:t>ade statistics, Liquid Biofuels</w:t>
      </w:r>
    </w:p>
  </w:footnote>
  <w:footnote w:id="33">
    <w:p w:rsidR="00211196" w:rsidRPr="00516104" w:rsidRDefault="00211196">
      <w:pPr>
        <w:pStyle w:val="Funotentext"/>
        <w:rPr>
          <w:rFonts w:ascii="Arial" w:hAnsi="Arial" w:cs="Arial"/>
          <w:sz w:val="18"/>
          <w:szCs w:val="18"/>
          <w:lang w:val="en-US"/>
        </w:rPr>
      </w:pPr>
      <w:r w:rsidRPr="00516104">
        <w:rPr>
          <w:rStyle w:val="Funotenzeichen"/>
          <w:rFonts w:ascii="Arial" w:hAnsi="Arial" w:cs="Arial"/>
          <w:sz w:val="18"/>
          <w:szCs w:val="18"/>
        </w:rPr>
        <w:footnoteRef/>
      </w:r>
      <w:r w:rsidRPr="00516104">
        <w:rPr>
          <w:rFonts w:ascii="Arial" w:hAnsi="Arial" w:cs="Arial"/>
          <w:sz w:val="18"/>
          <w:szCs w:val="18"/>
          <w:lang w:val="en-US"/>
        </w:rPr>
        <w:t xml:space="preserve"> Data source: ČSÚ, Czech Statistical Office</w:t>
      </w:r>
    </w:p>
  </w:footnote>
  <w:footnote w:id="34">
    <w:p w:rsidR="00211196" w:rsidRPr="00516104" w:rsidRDefault="00211196" w:rsidP="00B54090">
      <w:pPr>
        <w:pStyle w:val="Funotentext"/>
        <w:spacing w:after="0"/>
        <w:rPr>
          <w:rFonts w:ascii="Arial" w:hAnsi="Arial" w:cs="Arial"/>
          <w:sz w:val="18"/>
          <w:szCs w:val="18"/>
          <w:lang w:val="en-US"/>
        </w:rPr>
      </w:pPr>
      <w:r w:rsidRPr="00516104">
        <w:rPr>
          <w:rStyle w:val="Funotenzeichen"/>
          <w:rFonts w:ascii="Arial" w:hAnsi="Arial" w:cs="Arial"/>
          <w:sz w:val="18"/>
          <w:szCs w:val="18"/>
        </w:rPr>
        <w:footnoteRef/>
      </w:r>
      <w:r w:rsidRPr="00516104">
        <w:rPr>
          <w:rFonts w:ascii="Arial" w:hAnsi="Arial" w:cs="Arial"/>
          <w:sz w:val="18"/>
          <w:szCs w:val="18"/>
          <w:lang w:val="en-US"/>
        </w:rPr>
        <w:t xml:space="preserve"> It has the statistical significance at 8% probability level and R-squared was 0.205255.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72712"/>
    <w:multiLevelType w:val="hybridMultilevel"/>
    <w:tmpl w:val="0938E8B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06186A85"/>
    <w:multiLevelType w:val="hybridMultilevel"/>
    <w:tmpl w:val="888A783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06EC363A"/>
    <w:multiLevelType w:val="hybridMultilevel"/>
    <w:tmpl w:val="2A380C64"/>
    <w:lvl w:ilvl="0" w:tplc="0C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09006392"/>
    <w:multiLevelType w:val="multilevel"/>
    <w:tmpl w:val="647C80F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nsid w:val="0B211DF6"/>
    <w:multiLevelType w:val="hybridMultilevel"/>
    <w:tmpl w:val="0880637C"/>
    <w:lvl w:ilvl="0" w:tplc="19D2F344">
      <w:start w:val="1"/>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0C3B6DBF"/>
    <w:multiLevelType w:val="hybridMultilevel"/>
    <w:tmpl w:val="CBA4096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nsid w:val="0D7A3DDA"/>
    <w:multiLevelType w:val="hybridMultilevel"/>
    <w:tmpl w:val="03509536"/>
    <w:lvl w:ilvl="0" w:tplc="68D2AB9C">
      <w:start w:val="1"/>
      <w:numFmt w:val="bullet"/>
      <w:lvlText w:val="-"/>
      <w:lvlJc w:val="left"/>
      <w:pPr>
        <w:ind w:left="720" w:hanging="360"/>
      </w:pPr>
      <w:rPr>
        <w:rFonts w:ascii="Calibri" w:eastAsia="Times New Roman" w:hAnsi="Calibri"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048403C"/>
    <w:multiLevelType w:val="hybridMultilevel"/>
    <w:tmpl w:val="03E240A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nsid w:val="1F732EF3"/>
    <w:multiLevelType w:val="hybridMultilevel"/>
    <w:tmpl w:val="B114CF66"/>
    <w:lvl w:ilvl="0" w:tplc="4C527EB6">
      <w:start w:val="1"/>
      <w:numFmt w:val="bullet"/>
      <w:lvlText w:val="-"/>
      <w:lvlJc w:val="left"/>
      <w:pPr>
        <w:ind w:left="720" w:hanging="360"/>
      </w:pPr>
      <w:rPr>
        <w:rFonts w:ascii="Calibri" w:eastAsia="Times New Roman" w:hAnsi="Calibri"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220E3E2A"/>
    <w:multiLevelType w:val="hybridMultilevel"/>
    <w:tmpl w:val="18BC586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nsid w:val="23496E5F"/>
    <w:multiLevelType w:val="multilevel"/>
    <w:tmpl w:val="0C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25D4018E"/>
    <w:multiLevelType w:val="hybridMultilevel"/>
    <w:tmpl w:val="9F2AAD1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nsid w:val="29915986"/>
    <w:multiLevelType w:val="hybridMultilevel"/>
    <w:tmpl w:val="667051C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nsid w:val="32EA69AE"/>
    <w:multiLevelType w:val="hybridMultilevel"/>
    <w:tmpl w:val="F47CE6C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nsid w:val="38CB0AE4"/>
    <w:multiLevelType w:val="hybridMultilevel"/>
    <w:tmpl w:val="DC52E26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nsid w:val="3BE03BE7"/>
    <w:multiLevelType w:val="hybridMultilevel"/>
    <w:tmpl w:val="7856137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nsid w:val="3CDE5EC2"/>
    <w:multiLevelType w:val="hybridMultilevel"/>
    <w:tmpl w:val="FBD4866C"/>
    <w:lvl w:ilvl="0" w:tplc="D9C84F26">
      <w:numFmt w:val="bullet"/>
      <w:lvlText w:val="-"/>
      <w:lvlJc w:val="left"/>
      <w:pPr>
        <w:ind w:left="720" w:hanging="360"/>
      </w:pPr>
      <w:rPr>
        <w:rFonts w:ascii="Calibri" w:eastAsia="Times New Roman" w:hAnsi="Calibri"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3D022F3B"/>
    <w:multiLevelType w:val="hybridMultilevel"/>
    <w:tmpl w:val="D90C1CDC"/>
    <w:lvl w:ilvl="0" w:tplc="3AAA1C60">
      <w:numFmt w:val="bullet"/>
      <w:lvlText w:val="-"/>
      <w:lvlJc w:val="left"/>
      <w:pPr>
        <w:ind w:left="720" w:hanging="360"/>
      </w:pPr>
      <w:rPr>
        <w:rFonts w:ascii="Calibri" w:eastAsia="Times New Roman" w:hAnsi="Calibri"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479029F9"/>
    <w:multiLevelType w:val="hybridMultilevel"/>
    <w:tmpl w:val="CD9ED3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nsid w:val="47985527"/>
    <w:multiLevelType w:val="hybridMultilevel"/>
    <w:tmpl w:val="EECA474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nsid w:val="4B2F0406"/>
    <w:multiLevelType w:val="hybridMultilevel"/>
    <w:tmpl w:val="37926EAA"/>
    <w:lvl w:ilvl="0" w:tplc="44085AD0">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1">
    <w:nsid w:val="4BE72D9E"/>
    <w:multiLevelType w:val="hybridMultilevel"/>
    <w:tmpl w:val="E918EE22"/>
    <w:lvl w:ilvl="0" w:tplc="4F44552C">
      <w:start w:val="1"/>
      <w:numFmt w:val="bullet"/>
      <w:lvlText w:val="-"/>
      <w:lvlJc w:val="left"/>
      <w:pPr>
        <w:ind w:left="720" w:hanging="360"/>
      </w:pPr>
      <w:rPr>
        <w:rFonts w:ascii="Calibri" w:eastAsia="Times New Roman" w:hAnsi="Calibri"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516D0A55"/>
    <w:multiLevelType w:val="hybridMultilevel"/>
    <w:tmpl w:val="EAFA31DE"/>
    <w:lvl w:ilvl="0" w:tplc="905491F4">
      <w:numFmt w:val="bullet"/>
      <w:lvlText w:val="-"/>
      <w:lvlJc w:val="left"/>
      <w:pPr>
        <w:ind w:left="720" w:hanging="360"/>
      </w:pPr>
      <w:rPr>
        <w:rFonts w:ascii="Calibri" w:eastAsia="Times New Roman" w:hAnsi="Calibri"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58BC5ACC"/>
    <w:multiLevelType w:val="hybridMultilevel"/>
    <w:tmpl w:val="A9B89458"/>
    <w:lvl w:ilvl="0" w:tplc="0CFEBCBA">
      <w:start w:val="1"/>
      <w:numFmt w:val="bullet"/>
      <w:lvlText w:val="-"/>
      <w:lvlJc w:val="left"/>
      <w:pPr>
        <w:ind w:left="720" w:hanging="360"/>
      </w:pPr>
      <w:rPr>
        <w:rFonts w:ascii="Calibri" w:eastAsia="Times New Roman" w:hAnsi="Calibri"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5A64725B"/>
    <w:multiLevelType w:val="hybridMultilevel"/>
    <w:tmpl w:val="FFAAB41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nsid w:val="5F563B49"/>
    <w:multiLevelType w:val="hybridMultilevel"/>
    <w:tmpl w:val="18E8F044"/>
    <w:lvl w:ilvl="0" w:tplc="25D00572">
      <w:start w:val="1"/>
      <w:numFmt w:val="bullet"/>
      <w:lvlText w:val=""/>
      <w:lvlJc w:val="left"/>
      <w:pPr>
        <w:tabs>
          <w:tab w:val="num" w:pos="720"/>
        </w:tabs>
        <w:ind w:left="720" w:hanging="360"/>
      </w:pPr>
      <w:rPr>
        <w:rFonts w:ascii="Wingdings" w:hAnsi="Wingdings" w:hint="default"/>
      </w:rPr>
    </w:lvl>
    <w:lvl w:ilvl="1" w:tplc="2638AF66" w:tentative="1">
      <w:start w:val="1"/>
      <w:numFmt w:val="bullet"/>
      <w:lvlText w:val=""/>
      <w:lvlJc w:val="left"/>
      <w:pPr>
        <w:tabs>
          <w:tab w:val="num" w:pos="1440"/>
        </w:tabs>
        <w:ind w:left="1440" w:hanging="360"/>
      </w:pPr>
      <w:rPr>
        <w:rFonts w:ascii="Wingdings" w:hAnsi="Wingdings" w:hint="default"/>
      </w:rPr>
    </w:lvl>
    <w:lvl w:ilvl="2" w:tplc="81D087A8" w:tentative="1">
      <w:start w:val="1"/>
      <w:numFmt w:val="bullet"/>
      <w:lvlText w:val=""/>
      <w:lvlJc w:val="left"/>
      <w:pPr>
        <w:tabs>
          <w:tab w:val="num" w:pos="2160"/>
        </w:tabs>
        <w:ind w:left="2160" w:hanging="360"/>
      </w:pPr>
      <w:rPr>
        <w:rFonts w:ascii="Wingdings" w:hAnsi="Wingdings" w:hint="default"/>
      </w:rPr>
    </w:lvl>
    <w:lvl w:ilvl="3" w:tplc="9800AD24" w:tentative="1">
      <w:start w:val="1"/>
      <w:numFmt w:val="bullet"/>
      <w:lvlText w:val=""/>
      <w:lvlJc w:val="left"/>
      <w:pPr>
        <w:tabs>
          <w:tab w:val="num" w:pos="2880"/>
        </w:tabs>
        <w:ind w:left="2880" w:hanging="360"/>
      </w:pPr>
      <w:rPr>
        <w:rFonts w:ascii="Wingdings" w:hAnsi="Wingdings" w:hint="default"/>
      </w:rPr>
    </w:lvl>
    <w:lvl w:ilvl="4" w:tplc="B44C499A" w:tentative="1">
      <w:start w:val="1"/>
      <w:numFmt w:val="bullet"/>
      <w:lvlText w:val=""/>
      <w:lvlJc w:val="left"/>
      <w:pPr>
        <w:tabs>
          <w:tab w:val="num" w:pos="3600"/>
        </w:tabs>
        <w:ind w:left="3600" w:hanging="360"/>
      </w:pPr>
      <w:rPr>
        <w:rFonts w:ascii="Wingdings" w:hAnsi="Wingdings" w:hint="default"/>
      </w:rPr>
    </w:lvl>
    <w:lvl w:ilvl="5" w:tplc="01D6E06E" w:tentative="1">
      <w:start w:val="1"/>
      <w:numFmt w:val="bullet"/>
      <w:lvlText w:val=""/>
      <w:lvlJc w:val="left"/>
      <w:pPr>
        <w:tabs>
          <w:tab w:val="num" w:pos="4320"/>
        </w:tabs>
        <w:ind w:left="4320" w:hanging="360"/>
      </w:pPr>
      <w:rPr>
        <w:rFonts w:ascii="Wingdings" w:hAnsi="Wingdings" w:hint="default"/>
      </w:rPr>
    </w:lvl>
    <w:lvl w:ilvl="6" w:tplc="77DA4516" w:tentative="1">
      <w:start w:val="1"/>
      <w:numFmt w:val="bullet"/>
      <w:lvlText w:val=""/>
      <w:lvlJc w:val="left"/>
      <w:pPr>
        <w:tabs>
          <w:tab w:val="num" w:pos="5040"/>
        </w:tabs>
        <w:ind w:left="5040" w:hanging="360"/>
      </w:pPr>
      <w:rPr>
        <w:rFonts w:ascii="Wingdings" w:hAnsi="Wingdings" w:hint="default"/>
      </w:rPr>
    </w:lvl>
    <w:lvl w:ilvl="7" w:tplc="F2CC3B68" w:tentative="1">
      <w:start w:val="1"/>
      <w:numFmt w:val="bullet"/>
      <w:lvlText w:val=""/>
      <w:lvlJc w:val="left"/>
      <w:pPr>
        <w:tabs>
          <w:tab w:val="num" w:pos="5760"/>
        </w:tabs>
        <w:ind w:left="5760" w:hanging="360"/>
      </w:pPr>
      <w:rPr>
        <w:rFonts w:ascii="Wingdings" w:hAnsi="Wingdings" w:hint="default"/>
      </w:rPr>
    </w:lvl>
    <w:lvl w:ilvl="8" w:tplc="5E16FDD0" w:tentative="1">
      <w:start w:val="1"/>
      <w:numFmt w:val="bullet"/>
      <w:lvlText w:val=""/>
      <w:lvlJc w:val="left"/>
      <w:pPr>
        <w:tabs>
          <w:tab w:val="num" w:pos="6480"/>
        </w:tabs>
        <w:ind w:left="6480" w:hanging="360"/>
      </w:pPr>
      <w:rPr>
        <w:rFonts w:ascii="Wingdings" w:hAnsi="Wingdings" w:hint="default"/>
      </w:rPr>
    </w:lvl>
  </w:abstractNum>
  <w:abstractNum w:abstractNumId="26">
    <w:nsid w:val="64473B58"/>
    <w:multiLevelType w:val="hybridMultilevel"/>
    <w:tmpl w:val="67C8BF76"/>
    <w:lvl w:ilvl="0" w:tplc="5A88A0AC">
      <w:start w:val="1"/>
      <w:numFmt w:val="bullet"/>
      <w:lvlText w:val="-"/>
      <w:lvlJc w:val="left"/>
      <w:pPr>
        <w:ind w:left="720" w:hanging="360"/>
      </w:pPr>
      <w:rPr>
        <w:rFonts w:ascii="Calibri" w:eastAsia="Times New Roman" w:hAnsi="Calibri"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681D6E93"/>
    <w:multiLevelType w:val="multilevel"/>
    <w:tmpl w:val="A24A887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8">
    <w:nsid w:val="6CF95D73"/>
    <w:multiLevelType w:val="hybridMultilevel"/>
    <w:tmpl w:val="9B86E8C4"/>
    <w:lvl w:ilvl="0" w:tplc="4D8A357C">
      <w:start w:val="1"/>
      <w:numFmt w:val="bullet"/>
      <w:lvlText w:val=""/>
      <w:lvlJc w:val="left"/>
      <w:pPr>
        <w:tabs>
          <w:tab w:val="num" w:pos="720"/>
        </w:tabs>
        <w:ind w:left="720" w:hanging="360"/>
      </w:pPr>
      <w:rPr>
        <w:rFonts w:ascii="Wingdings" w:hAnsi="Wingdings" w:hint="default"/>
      </w:rPr>
    </w:lvl>
    <w:lvl w:ilvl="1" w:tplc="57442E4C" w:tentative="1">
      <w:start w:val="1"/>
      <w:numFmt w:val="bullet"/>
      <w:lvlText w:val=""/>
      <w:lvlJc w:val="left"/>
      <w:pPr>
        <w:tabs>
          <w:tab w:val="num" w:pos="1440"/>
        </w:tabs>
        <w:ind w:left="1440" w:hanging="360"/>
      </w:pPr>
      <w:rPr>
        <w:rFonts w:ascii="Wingdings" w:hAnsi="Wingdings" w:hint="default"/>
      </w:rPr>
    </w:lvl>
    <w:lvl w:ilvl="2" w:tplc="661CB4D6" w:tentative="1">
      <w:start w:val="1"/>
      <w:numFmt w:val="bullet"/>
      <w:lvlText w:val=""/>
      <w:lvlJc w:val="left"/>
      <w:pPr>
        <w:tabs>
          <w:tab w:val="num" w:pos="2160"/>
        </w:tabs>
        <w:ind w:left="2160" w:hanging="360"/>
      </w:pPr>
      <w:rPr>
        <w:rFonts w:ascii="Wingdings" w:hAnsi="Wingdings" w:hint="default"/>
      </w:rPr>
    </w:lvl>
    <w:lvl w:ilvl="3" w:tplc="2A90587E" w:tentative="1">
      <w:start w:val="1"/>
      <w:numFmt w:val="bullet"/>
      <w:lvlText w:val=""/>
      <w:lvlJc w:val="left"/>
      <w:pPr>
        <w:tabs>
          <w:tab w:val="num" w:pos="2880"/>
        </w:tabs>
        <w:ind w:left="2880" w:hanging="360"/>
      </w:pPr>
      <w:rPr>
        <w:rFonts w:ascii="Wingdings" w:hAnsi="Wingdings" w:hint="default"/>
      </w:rPr>
    </w:lvl>
    <w:lvl w:ilvl="4" w:tplc="539045A0" w:tentative="1">
      <w:start w:val="1"/>
      <w:numFmt w:val="bullet"/>
      <w:lvlText w:val=""/>
      <w:lvlJc w:val="left"/>
      <w:pPr>
        <w:tabs>
          <w:tab w:val="num" w:pos="3600"/>
        </w:tabs>
        <w:ind w:left="3600" w:hanging="360"/>
      </w:pPr>
      <w:rPr>
        <w:rFonts w:ascii="Wingdings" w:hAnsi="Wingdings" w:hint="default"/>
      </w:rPr>
    </w:lvl>
    <w:lvl w:ilvl="5" w:tplc="9350D4AC" w:tentative="1">
      <w:start w:val="1"/>
      <w:numFmt w:val="bullet"/>
      <w:lvlText w:val=""/>
      <w:lvlJc w:val="left"/>
      <w:pPr>
        <w:tabs>
          <w:tab w:val="num" w:pos="4320"/>
        </w:tabs>
        <w:ind w:left="4320" w:hanging="360"/>
      </w:pPr>
      <w:rPr>
        <w:rFonts w:ascii="Wingdings" w:hAnsi="Wingdings" w:hint="default"/>
      </w:rPr>
    </w:lvl>
    <w:lvl w:ilvl="6" w:tplc="6B2252D2" w:tentative="1">
      <w:start w:val="1"/>
      <w:numFmt w:val="bullet"/>
      <w:lvlText w:val=""/>
      <w:lvlJc w:val="left"/>
      <w:pPr>
        <w:tabs>
          <w:tab w:val="num" w:pos="5040"/>
        </w:tabs>
        <w:ind w:left="5040" w:hanging="360"/>
      </w:pPr>
      <w:rPr>
        <w:rFonts w:ascii="Wingdings" w:hAnsi="Wingdings" w:hint="default"/>
      </w:rPr>
    </w:lvl>
    <w:lvl w:ilvl="7" w:tplc="A0847FD4" w:tentative="1">
      <w:start w:val="1"/>
      <w:numFmt w:val="bullet"/>
      <w:lvlText w:val=""/>
      <w:lvlJc w:val="left"/>
      <w:pPr>
        <w:tabs>
          <w:tab w:val="num" w:pos="5760"/>
        </w:tabs>
        <w:ind w:left="5760" w:hanging="360"/>
      </w:pPr>
      <w:rPr>
        <w:rFonts w:ascii="Wingdings" w:hAnsi="Wingdings" w:hint="default"/>
      </w:rPr>
    </w:lvl>
    <w:lvl w:ilvl="8" w:tplc="83DE7112" w:tentative="1">
      <w:start w:val="1"/>
      <w:numFmt w:val="bullet"/>
      <w:lvlText w:val=""/>
      <w:lvlJc w:val="left"/>
      <w:pPr>
        <w:tabs>
          <w:tab w:val="num" w:pos="6480"/>
        </w:tabs>
        <w:ind w:left="6480" w:hanging="360"/>
      </w:pPr>
      <w:rPr>
        <w:rFonts w:ascii="Wingdings" w:hAnsi="Wingdings" w:hint="default"/>
      </w:rPr>
    </w:lvl>
  </w:abstractNum>
  <w:abstractNum w:abstractNumId="29">
    <w:nsid w:val="6D454218"/>
    <w:multiLevelType w:val="hybridMultilevel"/>
    <w:tmpl w:val="864C9D8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nsid w:val="6EA90C26"/>
    <w:multiLevelType w:val="hybridMultilevel"/>
    <w:tmpl w:val="60F8839C"/>
    <w:lvl w:ilvl="0" w:tplc="B3C056F2">
      <w:start w:val="1"/>
      <w:numFmt w:val="bullet"/>
      <w:pStyle w:val="Aufzhlung"/>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nsid w:val="6FD87B09"/>
    <w:multiLevelType w:val="hybridMultilevel"/>
    <w:tmpl w:val="D772F2CC"/>
    <w:lvl w:ilvl="0" w:tplc="2F94B5D8">
      <w:start w:val="1"/>
      <w:numFmt w:val="bullet"/>
      <w:lvlText w:val=""/>
      <w:lvlJc w:val="left"/>
      <w:pPr>
        <w:tabs>
          <w:tab w:val="num" w:pos="720"/>
        </w:tabs>
        <w:ind w:left="720" w:hanging="360"/>
      </w:pPr>
      <w:rPr>
        <w:rFonts w:ascii="Wingdings" w:hAnsi="Wingdings" w:hint="default"/>
      </w:rPr>
    </w:lvl>
    <w:lvl w:ilvl="1" w:tplc="D41CE0B8" w:tentative="1">
      <w:start w:val="1"/>
      <w:numFmt w:val="bullet"/>
      <w:lvlText w:val=""/>
      <w:lvlJc w:val="left"/>
      <w:pPr>
        <w:tabs>
          <w:tab w:val="num" w:pos="1440"/>
        </w:tabs>
        <w:ind w:left="1440" w:hanging="360"/>
      </w:pPr>
      <w:rPr>
        <w:rFonts w:ascii="Wingdings" w:hAnsi="Wingdings" w:hint="default"/>
      </w:rPr>
    </w:lvl>
    <w:lvl w:ilvl="2" w:tplc="A93873D2" w:tentative="1">
      <w:start w:val="1"/>
      <w:numFmt w:val="bullet"/>
      <w:lvlText w:val=""/>
      <w:lvlJc w:val="left"/>
      <w:pPr>
        <w:tabs>
          <w:tab w:val="num" w:pos="2160"/>
        </w:tabs>
        <w:ind w:left="2160" w:hanging="360"/>
      </w:pPr>
      <w:rPr>
        <w:rFonts w:ascii="Wingdings" w:hAnsi="Wingdings" w:hint="default"/>
      </w:rPr>
    </w:lvl>
    <w:lvl w:ilvl="3" w:tplc="D57EEDD6" w:tentative="1">
      <w:start w:val="1"/>
      <w:numFmt w:val="bullet"/>
      <w:lvlText w:val=""/>
      <w:lvlJc w:val="left"/>
      <w:pPr>
        <w:tabs>
          <w:tab w:val="num" w:pos="2880"/>
        </w:tabs>
        <w:ind w:left="2880" w:hanging="360"/>
      </w:pPr>
      <w:rPr>
        <w:rFonts w:ascii="Wingdings" w:hAnsi="Wingdings" w:hint="default"/>
      </w:rPr>
    </w:lvl>
    <w:lvl w:ilvl="4" w:tplc="DE8649C0" w:tentative="1">
      <w:start w:val="1"/>
      <w:numFmt w:val="bullet"/>
      <w:lvlText w:val=""/>
      <w:lvlJc w:val="left"/>
      <w:pPr>
        <w:tabs>
          <w:tab w:val="num" w:pos="3600"/>
        </w:tabs>
        <w:ind w:left="3600" w:hanging="360"/>
      </w:pPr>
      <w:rPr>
        <w:rFonts w:ascii="Wingdings" w:hAnsi="Wingdings" w:hint="default"/>
      </w:rPr>
    </w:lvl>
    <w:lvl w:ilvl="5" w:tplc="9F8423EA" w:tentative="1">
      <w:start w:val="1"/>
      <w:numFmt w:val="bullet"/>
      <w:lvlText w:val=""/>
      <w:lvlJc w:val="left"/>
      <w:pPr>
        <w:tabs>
          <w:tab w:val="num" w:pos="4320"/>
        </w:tabs>
        <w:ind w:left="4320" w:hanging="360"/>
      </w:pPr>
      <w:rPr>
        <w:rFonts w:ascii="Wingdings" w:hAnsi="Wingdings" w:hint="default"/>
      </w:rPr>
    </w:lvl>
    <w:lvl w:ilvl="6" w:tplc="19867CA8" w:tentative="1">
      <w:start w:val="1"/>
      <w:numFmt w:val="bullet"/>
      <w:lvlText w:val=""/>
      <w:lvlJc w:val="left"/>
      <w:pPr>
        <w:tabs>
          <w:tab w:val="num" w:pos="5040"/>
        </w:tabs>
        <w:ind w:left="5040" w:hanging="360"/>
      </w:pPr>
      <w:rPr>
        <w:rFonts w:ascii="Wingdings" w:hAnsi="Wingdings" w:hint="default"/>
      </w:rPr>
    </w:lvl>
    <w:lvl w:ilvl="7" w:tplc="A48045FA" w:tentative="1">
      <w:start w:val="1"/>
      <w:numFmt w:val="bullet"/>
      <w:lvlText w:val=""/>
      <w:lvlJc w:val="left"/>
      <w:pPr>
        <w:tabs>
          <w:tab w:val="num" w:pos="5760"/>
        </w:tabs>
        <w:ind w:left="5760" w:hanging="360"/>
      </w:pPr>
      <w:rPr>
        <w:rFonts w:ascii="Wingdings" w:hAnsi="Wingdings" w:hint="default"/>
      </w:rPr>
    </w:lvl>
    <w:lvl w:ilvl="8" w:tplc="EBD00962" w:tentative="1">
      <w:start w:val="1"/>
      <w:numFmt w:val="bullet"/>
      <w:lvlText w:val=""/>
      <w:lvlJc w:val="left"/>
      <w:pPr>
        <w:tabs>
          <w:tab w:val="num" w:pos="6480"/>
        </w:tabs>
        <w:ind w:left="6480" w:hanging="360"/>
      </w:pPr>
      <w:rPr>
        <w:rFonts w:ascii="Wingdings" w:hAnsi="Wingdings" w:hint="default"/>
      </w:rPr>
    </w:lvl>
  </w:abstractNum>
  <w:abstractNum w:abstractNumId="32">
    <w:nsid w:val="749A14C9"/>
    <w:multiLevelType w:val="hybridMultilevel"/>
    <w:tmpl w:val="E714959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3">
    <w:nsid w:val="77C46FE4"/>
    <w:multiLevelType w:val="hybridMultilevel"/>
    <w:tmpl w:val="B2ACF6EE"/>
    <w:lvl w:ilvl="0" w:tplc="53008C9E">
      <w:start w:val="1"/>
      <w:numFmt w:val="decimal"/>
      <w:pStyle w:val="berschrift1"/>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9"/>
  </w:num>
  <w:num w:numId="2">
    <w:abstractNumId w:val="28"/>
  </w:num>
  <w:num w:numId="3">
    <w:abstractNumId w:val="25"/>
  </w:num>
  <w:num w:numId="4">
    <w:abstractNumId w:val="3"/>
  </w:num>
  <w:num w:numId="5">
    <w:abstractNumId w:val="23"/>
  </w:num>
  <w:num w:numId="6">
    <w:abstractNumId w:val="21"/>
  </w:num>
  <w:num w:numId="7">
    <w:abstractNumId w:val="8"/>
  </w:num>
  <w:num w:numId="8">
    <w:abstractNumId w:val="6"/>
  </w:num>
  <w:num w:numId="9">
    <w:abstractNumId w:val="26"/>
  </w:num>
  <w:num w:numId="10">
    <w:abstractNumId w:val="22"/>
  </w:num>
  <w:num w:numId="11">
    <w:abstractNumId w:val="16"/>
  </w:num>
  <w:num w:numId="12">
    <w:abstractNumId w:val="17"/>
  </w:num>
  <w:num w:numId="13">
    <w:abstractNumId w:val="27"/>
  </w:num>
  <w:num w:numId="14">
    <w:abstractNumId w:val="20"/>
  </w:num>
  <w:num w:numId="15">
    <w:abstractNumId w:val="31"/>
  </w:num>
  <w:num w:numId="16">
    <w:abstractNumId w:val="4"/>
  </w:num>
  <w:num w:numId="17">
    <w:abstractNumId w:val="1"/>
  </w:num>
  <w:num w:numId="18">
    <w:abstractNumId w:val="0"/>
  </w:num>
  <w:num w:numId="19">
    <w:abstractNumId w:val="2"/>
  </w:num>
  <w:num w:numId="20">
    <w:abstractNumId w:val="11"/>
  </w:num>
  <w:num w:numId="21">
    <w:abstractNumId w:val="14"/>
  </w:num>
  <w:num w:numId="22">
    <w:abstractNumId w:val="13"/>
  </w:num>
  <w:num w:numId="23">
    <w:abstractNumId w:val="10"/>
  </w:num>
  <w:num w:numId="24">
    <w:abstractNumId w:val="10"/>
  </w:num>
  <w:num w:numId="25">
    <w:abstractNumId w:val="10"/>
  </w:num>
  <w:num w:numId="26">
    <w:abstractNumId w:val="10"/>
  </w:num>
  <w:num w:numId="27">
    <w:abstractNumId w:val="10"/>
  </w:num>
  <w:num w:numId="28">
    <w:abstractNumId w:val="10"/>
  </w:num>
  <w:num w:numId="29">
    <w:abstractNumId w:val="10"/>
  </w:num>
  <w:num w:numId="30">
    <w:abstractNumId w:val="10"/>
  </w:num>
  <w:num w:numId="31">
    <w:abstractNumId w:val="10"/>
  </w:num>
  <w:num w:numId="32">
    <w:abstractNumId w:val="10"/>
  </w:num>
  <w:num w:numId="33">
    <w:abstractNumId w:val="10"/>
  </w:num>
  <w:num w:numId="34">
    <w:abstractNumId w:val="10"/>
  </w:num>
  <w:num w:numId="35">
    <w:abstractNumId w:val="30"/>
  </w:num>
  <w:num w:numId="36">
    <w:abstractNumId w:val="30"/>
  </w:num>
  <w:num w:numId="37">
    <w:abstractNumId w:val="15"/>
  </w:num>
  <w:num w:numId="38">
    <w:abstractNumId w:val="32"/>
  </w:num>
  <w:num w:numId="39">
    <w:abstractNumId w:val="19"/>
  </w:num>
  <w:num w:numId="40">
    <w:abstractNumId w:val="29"/>
  </w:num>
  <w:num w:numId="41">
    <w:abstractNumId w:val="24"/>
  </w:num>
  <w:num w:numId="42">
    <w:abstractNumId w:val="33"/>
  </w:num>
  <w:num w:numId="43">
    <w:abstractNumId w:val="18"/>
  </w:num>
  <w:num w:numId="44">
    <w:abstractNumId w:val="12"/>
  </w:num>
  <w:num w:numId="45">
    <w:abstractNumId w:val="7"/>
  </w:num>
  <w:num w:numId="4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90F5B"/>
    <w:rsid w:val="0000351B"/>
    <w:rsid w:val="000078B5"/>
    <w:rsid w:val="00010569"/>
    <w:rsid w:val="00015F90"/>
    <w:rsid w:val="00016FB8"/>
    <w:rsid w:val="000271B6"/>
    <w:rsid w:val="00041D56"/>
    <w:rsid w:val="0004533E"/>
    <w:rsid w:val="0005086F"/>
    <w:rsid w:val="000521C0"/>
    <w:rsid w:val="000557AF"/>
    <w:rsid w:val="000562A0"/>
    <w:rsid w:val="000627FC"/>
    <w:rsid w:val="000638CC"/>
    <w:rsid w:val="0009110A"/>
    <w:rsid w:val="000924D5"/>
    <w:rsid w:val="000A1481"/>
    <w:rsid w:val="000B24B0"/>
    <w:rsid w:val="000B35C4"/>
    <w:rsid w:val="000B5BF0"/>
    <w:rsid w:val="000D3E1B"/>
    <w:rsid w:val="000D7838"/>
    <w:rsid w:val="000D7A3D"/>
    <w:rsid w:val="00104274"/>
    <w:rsid w:val="00110B25"/>
    <w:rsid w:val="00116EF6"/>
    <w:rsid w:val="0013245E"/>
    <w:rsid w:val="00141819"/>
    <w:rsid w:val="001459D7"/>
    <w:rsid w:val="0015121B"/>
    <w:rsid w:val="00161ABF"/>
    <w:rsid w:val="0017072D"/>
    <w:rsid w:val="00172FAC"/>
    <w:rsid w:val="00181A91"/>
    <w:rsid w:val="00181C8A"/>
    <w:rsid w:val="001A17CF"/>
    <w:rsid w:val="001A248C"/>
    <w:rsid w:val="001A6131"/>
    <w:rsid w:val="001B7396"/>
    <w:rsid w:val="001C33B6"/>
    <w:rsid w:val="001C4C86"/>
    <w:rsid w:val="001D3013"/>
    <w:rsid w:val="001E0CEA"/>
    <w:rsid w:val="001E0D68"/>
    <w:rsid w:val="001E1958"/>
    <w:rsid w:val="001E51E7"/>
    <w:rsid w:val="001E5702"/>
    <w:rsid w:val="00207587"/>
    <w:rsid w:val="00211196"/>
    <w:rsid w:val="00214071"/>
    <w:rsid w:val="002159B8"/>
    <w:rsid w:val="00221536"/>
    <w:rsid w:val="002320EF"/>
    <w:rsid w:val="00245690"/>
    <w:rsid w:val="002460C2"/>
    <w:rsid w:val="00256278"/>
    <w:rsid w:val="00264039"/>
    <w:rsid w:val="00266290"/>
    <w:rsid w:val="00292A20"/>
    <w:rsid w:val="002A0101"/>
    <w:rsid w:val="002A6340"/>
    <w:rsid w:val="002B19F2"/>
    <w:rsid w:val="002C188B"/>
    <w:rsid w:val="002C4350"/>
    <w:rsid w:val="002D07B4"/>
    <w:rsid w:val="002D2EBB"/>
    <w:rsid w:val="002D59B7"/>
    <w:rsid w:val="002E6C13"/>
    <w:rsid w:val="002F6A91"/>
    <w:rsid w:val="00302968"/>
    <w:rsid w:val="00313E8B"/>
    <w:rsid w:val="003158E0"/>
    <w:rsid w:val="00321D55"/>
    <w:rsid w:val="003255D8"/>
    <w:rsid w:val="00326B33"/>
    <w:rsid w:val="00340409"/>
    <w:rsid w:val="00351DC5"/>
    <w:rsid w:val="00366414"/>
    <w:rsid w:val="003757A5"/>
    <w:rsid w:val="00377E3E"/>
    <w:rsid w:val="00383B60"/>
    <w:rsid w:val="00391FA8"/>
    <w:rsid w:val="003963E8"/>
    <w:rsid w:val="003B00F3"/>
    <w:rsid w:val="003C62CC"/>
    <w:rsid w:val="003D424E"/>
    <w:rsid w:val="003D4AC7"/>
    <w:rsid w:val="003D6F3B"/>
    <w:rsid w:val="003E4B78"/>
    <w:rsid w:val="003F2ED8"/>
    <w:rsid w:val="003F5BBC"/>
    <w:rsid w:val="004004FF"/>
    <w:rsid w:val="0040253F"/>
    <w:rsid w:val="00404392"/>
    <w:rsid w:val="00406E9A"/>
    <w:rsid w:val="0041559D"/>
    <w:rsid w:val="004167A3"/>
    <w:rsid w:val="00417599"/>
    <w:rsid w:val="004230F1"/>
    <w:rsid w:val="00423E8F"/>
    <w:rsid w:val="00425C2E"/>
    <w:rsid w:val="00426268"/>
    <w:rsid w:val="004270BF"/>
    <w:rsid w:val="004303E1"/>
    <w:rsid w:val="00431FD7"/>
    <w:rsid w:val="0043270C"/>
    <w:rsid w:val="00433C55"/>
    <w:rsid w:val="004401EC"/>
    <w:rsid w:val="004432FB"/>
    <w:rsid w:val="00453B80"/>
    <w:rsid w:val="004552CD"/>
    <w:rsid w:val="004558EF"/>
    <w:rsid w:val="00456528"/>
    <w:rsid w:val="00461D20"/>
    <w:rsid w:val="00475161"/>
    <w:rsid w:val="00475521"/>
    <w:rsid w:val="00482CB0"/>
    <w:rsid w:val="00490F5B"/>
    <w:rsid w:val="004C4E3A"/>
    <w:rsid w:val="004E0AAA"/>
    <w:rsid w:val="004E5EBE"/>
    <w:rsid w:val="004F6AE8"/>
    <w:rsid w:val="005130E4"/>
    <w:rsid w:val="005144CF"/>
    <w:rsid w:val="00516104"/>
    <w:rsid w:val="00534179"/>
    <w:rsid w:val="00534B0E"/>
    <w:rsid w:val="0053555D"/>
    <w:rsid w:val="0054172E"/>
    <w:rsid w:val="00547479"/>
    <w:rsid w:val="005507DE"/>
    <w:rsid w:val="005630B3"/>
    <w:rsid w:val="00575039"/>
    <w:rsid w:val="0058482F"/>
    <w:rsid w:val="005848FD"/>
    <w:rsid w:val="005976C1"/>
    <w:rsid w:val="0059776C"/>
    <w:rsid w:val="005A2F40"/>
    <w:rsid w:val="005B394C"/>
    <w:rsid w:val="005C2F55"/>
    <w:rsid w:val="005C348F"/>
    <w:rsid w:val="005D4A9E"/>
    <w:rsid w:val="005E4DC8"/>
    <w:rsid w:val="005F6BDC"/>
    <w:rsid w:val="006023AE"/>
    <w:rsid w:val="00622C29"/>
    <w:rsid w:val="006279C9"/>
    <w:rsid w:val="00637E3D"/>
    <w:rsid w:val="00640B3D"/>
    <w:rsid w:val="006545C8"/>
    <w:rsid w:val="00656FA9"/>
    <w:rsid w:val="00673BA6"/>
    <w:rsid w:val="006800A3"/>
    <w:rsid w:val="006835D8"/>
    <w:rsid w:val="006878A8"/>
    <w:rsid w:val="00687BD3"/>
    <w:rsid w:val="006945EC"/>
    <w:rsid w:val="006A164E"/>
    <w:rsid w:val="006A1653"/>
    <w:rsid w:val="006B29AE"/>
    <w:rsid w:val="006B6AF6"/>
    <w:rsid w:val="006C4F0E"/>
    <w:rsid w:val="006E5714"/>
    <w:rsid w:val="006F18EC"/>
    <w:rsid w:val="006F3E2D"/>
    <w:rsid w:val="006F435A"/>
    <w:rsid w:val="0070319C"/>
    <w:rsid w:val="007047F7"/>
    <w:rsid w:val="00705EEE"/>
    <w:rsid w:val="00707D92"/>
    <w:rsid w:val="007139D2"/>
    <w:rsid w:val="00713CD2"/>
    <w:rsid w:val="00717E24"/>
    <w:rsid w:val="00721B6F"/>
    <w:rsid w:val="00721FD9"/>
    <w:rsid w:val="007242CE"/>
    <w:rsid w:val="00724CFF"/>
    <w:rsid w:val="00731B58"/>
    <w:rsid w:val="00733403"/>
    <w:rsid w:val="00742809"/>
    <w:rsid w:val="00762F8C"/>
    <w:rsid w:val="0076494E"/>
    <w:rsid w:val="00780855"/>
    <w:rsid w:val="00781CDE"/>
    <w:rsid w:val="0078255E"/>
    <w:rsid w:val="00784FD4"/>
    <w:rsid w:val="0078678B"/>
    <w:rsid w:val="007870FB"/>
    <w:rsid w:val="007917E6"/>
    <w:rsid w:val="00791C10"/>
    <w:rsid w:val="007C2BF8"/>
    <w:rsid w:val="00811B2D"/>
    <w:rsid w:val="008120A3"/>
    <w:rsid w:val="00812DAF"/>
    <w:rsid w:val="00813B7E"/>
    <w:rsid w:val="00824D0D"/>
    <w:rsid w:val="0083290A"/>
    <w:rsid w:val="00840F8A"/>
    <w:rsid w:val="00843FEE"/>
    <w:rsid w:val="008440B8"/>
    <w:rsid w:val="0085268E"/>
    <w:rsid w:val="00852C52"/>
    <w:rsid w:val="0086272C"/>
    <w:rsid w:val="00862D46"/>
    <w:rsid w:val="00873769"/>
    <w:rsid w:val="00885B40"/>
    <w:rsid w:val="008924A9"/>
    <w:rsid w:val="008A5C72"/>
    <w:rsid w:val="008A5C78"/>
    <w:rsid w:val="008B1CFD"/>
    <w:rsid w:val="008C4EAC"/>
    <w:rsid w:val="008C72EC"/>
    <w:rsid w:val="008D4A4E"/>
    <w:rsid w:val="008F0DBA"/>
    <w:rsid w:val="008F7909"/>
    <w:rsid w:val="00902093"/>
    <w:rsid w:val="00903111"/>
    <w:rsid w:val="0090443B"/>
    <w:rsid w:val="00904569"/>
    <w:rsid w:val="00912C16"/>
    <w:rsid w:val="00916691"/>
    <w:rsid w:val="00925BD2"/>
    <w:rsid w:val="009333AE"/>
    <w:rsid w:val="0093542C"/>
    <w:rsid w:val="0094552C"/>
    <w:rsid w:val="00945CDD"/>
    <w:rsid w:val="0095044E"/>
    <w:rsid w:val="00954A98"/>
    <w:rsid w:val="00973FD7"/>
    <w:rsid w:val="00993612"/>
    <w:rsid w:val="009A2C21"/>
    <w:rsid w:val="009A2DEE"/>
    <w:rsid w:val="009C0921"/>
    <w:rsid w:val="009C7100"/>
    <w:rsid w:val="009C7ED6"/>
    <w:rsid w:val="009D0B95"/>
    <w:rsid w:val="009D6A23"/>
    <w:rsid w:val="00A32658"/>
    <w:rsid w:val="00A34468"/>
    <w:rsid w:val="00A41441"/>
    <w:rsid w:val="00A55470"/>
    <w:rsid w:val="00A57FE5"/>
    <w:rsid w:val="00A62166"/>
    <w:rsid w:val="00A64AE9"/>
    <w:rsid w:val="00A6502A"/>
    <w:rsid w:val="00A665D5"/>
    <w:rsid w:val="00A71827"/>
    <w:rsid w:val="00A71BEF"/>
    <w:rsid w:val="00A72B7F"/>
    <w:rsid w:val="00A82C17"/>
    <w:rsid w:val="00A861F1"/>
    <w:rsid w:val="00A90EFC"/>
    <w:rsid w:val="00A92145"/>
    <w:rsid w:val="00AA05B1"/>
    <w:rsid w:val="00AA2AC7"/>
    <w:rsid w:val="00AA4985"/>
    <w:rsid w:val="00AA73CF"/>
    <w:rsid w:val="00AC067A"/>
    <w:rsid w:val="00AC1A34"/>
    <w:rsid w:val="00AD11D3"/>
    <w:rsid w:val="00AE0DD1"/>
    <w:rsid w:val="00AE5EF4"/>
    <w:rsid w:val="00AF32B0"/>
    <w:rsid w:val="00B01548"/>
    <w:rsid w:val="00B07A51"/>
    <w:rsid w:val="00B25ABF"/>
    <w:rsid w:val="00B31A46"/>
    <w:rsid w:val="00B40C38"/>
    <w:rsid w:val="00B50E55"/>
    <w:rsid w:val="00B53E5A"/>
    <w:rsid w:val="00B53ED3"/>
    <w:rsid w:val="00B54090"/>
    <w:rsid w:val="00B54603"/>
    <w:rsid w:val="00B574C1"/>
    <w:rsid w:val="00B64A2C"/>
    <w:rsid w:val="00B650C5"/>
    <w:rsid w:val="00B65519"/>
    <w:rsid w:val="00B67D73"/>
    <w:rsid w:val="00B8344D"/>
    <w:rsid w:val="00B84930"/>
    <w:rsid w:val="00B95798"/>
    <w:rsid w:val="00B96298"/>
    <w:rsid w:val="00BA6952"/>
    <w:rsid w:val="00BB6774"/>
    <w:rsid w:val="00BC3EDD"/>
    <w:rsid w:val="00BD1EEC"/>
    <w:rsid w:val="00C00280"/>
    <w:rsid w:val="00C00A8D"/>
    <w:rsid w:val="00C072A6"/>
    <w:rsid w:val="00C173D3"/>
    <w:rsid w:val="00C17CD6"/>
    <w:rsid w:val="00C20D9C"/>
    <w:rsid w:val="00C26AE7"/>
    <w:rsid w:val="00C35787"/>
    <w:rsid w:val="00C4556D"/>
    <w:rsid w:val="00C52D88"/>
    <w:rsid w:val="00C63B14"/>
    <w:rsid w:val="00C740AF"/>
    <w:rsid w:val="00CB69FB"/>
    <w:rsid w:val="00CC0485"/>
    <w:rsid w:val="00CD2294"/>
    <w:rsid w:val="00CD61DB"/>
    <w:rsid w:val="00CD6207"/>
    <w:rsid w:val="00CD649C"/>
    <w:rsid w:val="00CD6D2D"/>
    <w:rsid w:val="00CE241D"/>
    <w:rsid w:val="00CF3860"/>
    <w:rsid w:val="00CF5C30"/>
    <w:rsid w:val="00CF7033"/>
    <w:rsid w:val="00D06064"/>
    <w:rsid w:val="00D1321E"/>
    <w:rsid w:val="00D15FDB"/>
    <w:rsid w:val="00D20788"/>
    <w:rsid w:val="00D21AD4"/>
    <w:rsid w:val="00D254F2"/>
    <w:rsid w:val="00D255D6"/>
    <w:rsid w:val="00D3336F"/>
    <w:rsid w:val="00D345D6"/>
    <w:rsid w:val="00D3519A"/>
    <w:rsid w:val="00D37C71"/>
    <w:rsid w:val="00D411C8"/>
    <w:rsid w:val="00D554DD"/>
    <w:rsid w:val="00D610E7"/>
    <w:rsid w:val="00D72550"/>
    <w:rsid w:val="00D74D42"/>
    <w:rsid w:val="00D76051"/>
    <w:rsid w:val="00D819F7"/>
    <w:rsid w:val="00D85944"/>
    <w:rsid w:val="00D85EB0"/>
    <w:rsid w:val="00D90F71"/>
    <w:rsid w:val="00D919EC"/>
    <w:rsid w:val="00D966B2"/>
    <w:rsid w:val="00D97517"/>
    <w:rsid w:val="00DC02FC"/>
    <w:rsid w:val="00DC116D"/>
    <w:rsid w:val="00DC7746"/>
    <w:rsid w:val="00DE272C"/>
    <w:rsid w:val="00DE3CCA"/>
    <w:rsid w:val="00DE44C4"/>
    <w:rsid w:val="00DF1E18"/>
    <w:rsid w:val="00DF58C0"/>
    <w:rsid w:val="00E21BD9"/>
    <w:rsid w:val="00E227CC"/>
    <w:rsid w:val="00E26170"/>
    <w:rsid w:val="00E32562"/>
    <w:rsid w:val="00E352B2"/>
    <w:rsid w:val="00E52A5C"/>
    <w:rsid w:val="00E55C55"/>
    <w:rsid w:val="00E67354"/>
    <w:rsid w:val="00E708E3"/>
    <w:rsid w:val="00E7491A"/>
    <w:rsid w:val="00E75C73"/>
    <w:rsid w:val="00E76008"/>
    <w:rsid w:val="00E923CB"/>
    <w:rsid w:val="00E9555F"/>
    <w:rsid w:val="00EA3477"/>
    <w:rsid w:val="00EA4BA0"/>
    <w:rsid w:val="00EA506A"/>
    <w:rsid w:val="00EA762A"/>
    <w:rsid w:val="00EB2CF4"/>
    <w:rsid w:val="00EF163C"/>
    <w:rsid w:val="00F00B57"/>
    <w:rsid w:val="00F1206F"/>
    <w:rsid w:val="00F12659"/>
    <w:rsid w:val="00F15115"/>
    <w:rsid w:val="00F1667C"/>
    <w:rsid w:val="00F17C00"/>
    <w:rsid w:val="00F20437"/>
    <w:rsid w:val="00F239C5"/>
    <w:rsid w:val="00F315CA"/>
    <w:rsid w:val="00F359C9"/>
    <w:rsid w:val="00F4203F"/>
    <w:rsid w:val="00F53325"/>
    <w:rsid w:val="00F64311"/>
    <w:rsid w:val="00F655B1"/>
    <w:rsid w:val="00F72288"/>
    <w:rsid w:val="00F73EE2"/>
    <w:rsid w:val="00F74C34"/>
    <w:rsid w:val="00F74EFA"/>
    <w:rsid w:val="00F967FE"/>
    <w:rsid w:val="00FB50BA"/>
    <w:rsid w:val="00FC37BF"/>
    <w:rsid w:val="00FC6E09"/>
    <w:rsid w:val="00FD1E9B"/>
    <w:rsid w:val="00FE728C"/>
    <w:rsid w:val="00FF3047"/>
  </w:rsids>
  <m:mathPr>
    <m:mathFont m:val="Cambria Math"/>
    <m:brkBin m:val="before"/>
    <m:brkBinSub m:val="--"/>
    <m:smallFrac m:val="off"/>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4" w:qFormat="1"/>
    <w:lsdException w:name="heading 5" w:locked="1" w:uiPriority="9" w:qFormat="1"/>
    <w:lsdException w:name="heading 6" w:locked="1" w:uiPriority="9"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11"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Simple 1"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848FD"/>
    <w:pPr>
      <w:keepNext/>
      <w:spacing w:after="120" w:line="288" w:lineRule="auto"/>
      <w:contextualSpacing/>
      <w:jc w:val="both"/>
    </w:pPr>
    <w:rPr>
      <w:rFonts w:ascii="Arial" w:hAnsi="Arial"/>
      <w:lang w:eastAsia="en-US"/>
    </w:rPr>
  </w:style>
  <w:style w:type="paragraph" w:styleId="berschrift1">
    <w:name w:val="heading 1"/>
    <w:basedOn w:val="Standard"/>
    <w:next w:val="Standard"/>
    <w:link w:val="berschrift1Zchn"/>
    <w:qFormat/>
    <w:locked/>
    <w:rsid w:val="00D06064"/>
    <w:pPr>
      <w:numPr>
        <w:numId w:val="42"/>
      </w:numPr>
      <w:suppressAutoHyphens/>
      <w:spacing w:before="480" w:line="240" w:lineRule="auto"/>
      <w:contextualSpacing w:val="0"/>
      <w:jc w:val="left"/>
      <w:outlineLvl w:val="0"/>
    </w:pPr>
    <w:rPr>
      <w:rFonts w:eastAsia="Batang" w:cs="Arial"/>
      <w:b/>
      <w:bCs/>
      <w:smallCaps/>
      <w:color w:val="333399"/>
      <w:kern w:val="1"/>
      <w:sz w:val="27"/>
      <w:szCs w:val="26"/>
      <w:lang w:eastAsia="ar-SA"/>
    </w:rPr>
  </w:style>
  <w:style w:type="paragraph" w:styleId="berschrift2">
    <w:name w:val="heading 2"/>
    <w:basedOn w:val="Standard"/>
    <w:next w:val="Standard"/>
    <w:link w:val="berschrift2Zchn"/>
    <w:qFormat/>
    <w:locked/>
    <w:rsid w:val="00A72B7F"/>
    <w:pPr>
      <w:tabs>
        <w:tab w:val="num" w:pos="576"/>
      </w:tabs>
      <w:suppressAutoHyphens/>
      <w:spacing w:before="360" w:line="240" w:lineRule="auto"/>
      <w:ind w:left="680" w:hanging="680"/>
      <w:contextualSpacing w:val="0"/>
      <w:jc w:val="left"/>
      <w:outlineLvl w:val="1"/>
    </w:pPr>
    <w:rPr>
      <w:rFonts w:eastAsia="Batang" w:cs="Arial"/>
      <w:b/>
      <w:bCs/>
      <w:iCs/>
      <w:color w:val="333399"/>
      <w:sz w:val="24"/>
      <w:szCs w:val="23"/>
      <w:lang w:eastAsia="ar-SA"/>
    </w:rPr>
  </w:style>
  <w:style w:type="paragraph" w:styleId="berschrift3">
    <w:name w:val="heading 3"/>
    <w:basedOn w:val="Standard"/>
    <w:next w:val="Standard"/>
    <w:link w:val="berschrift3Zchn"/>
    <w:qFormat/>
    <w:locked/>
    <w:rsid w:val="00A72B7F"/>
    <w:pPr>
      <w:tabs>
        <w:tab w:val="num" w:pos="720"/>
      </w:tabs>
      <w:suppressAutoHyphens/>
      <w:spacing w:before="240" w:after="40" w:line="240" w:lineRule="auto"/>
      <w:contextualSpacing w:val="0"/>
      <w:jc w:val="left"/>
      <w:outlineLvl w:val="2"/>
    </w:pPr>
    <w:rPr>
      <w:rFonts w:eastAsia="Batang" w:cs="Arial"/>
      <w:b/>
      <w:bCs/>
      <w:sz w:val="23"/>
      <w:szCs w:val="26"/>
      <w:lang w:eastAsia="ar-SA"/>
    </w:rPr>
  </w:style>
  <w:style w:type="paragraph" w:styleId="berschrift4">
    <w:name w:val="heading 4"/>
    <w:basedOn w:val="Standard"/>
    <w:next w:val="Standard"/>
    <w:link w:val="berschrift4Zchn"/>
    <w:uiPriority w:val="4"/>
    <w:unhideWhenUsed/>
    <w:qFormat/>
    <w:locked/>
    <w:rsid w:val="006F3E2D"/>
    <w:pPr>
      <w:numPr>
        <w:ilvl w:val="3"/>
        <w:numId w:val="34"/>
      </w:numPr>
      <w:spacing w:before="240" w:after="0" w:line="240" w:lineRule="auto"/>
      <w:outlineLvl w:val="3"/>
    </w:pPr>
    <w:rPr>
      <w:rFonts w:eastAsiaTheme="minorEastAsia"/>
      <w:b/>
      <w:bCs/>
      <w:szCs w:val="28"/>
      <w:lang w:val="de-AT" w:bidi="en-US"/>
    </w:rPr>
  </w:style>
  <w:style w:type="paragraph" w:styleId="berschrift5">
    <w:name w:val="heading 5"/>
    <w:basedOn w:val="Standard"/>
    <w:next w:val="Standard"/>
    <w:link w:val="berschrift5Zchn"/>
    <w:uiPriority w:val="9"/>
    <w:semiHidden/>
    <w:qFormat/>
    <w:locked/>
    <w:rsid w:val="006F3E2D"/>
    <w:pPr>
      <w:numPr>
        <w:ilvl w:val="4"/>
        <w:numId w:val="34"/>
      </w:numPr>
      <w:spacing w:before="240" w:after="60" w:line="360" w:lineRule="auto"/>
      <w:outlineLvl w:val="4"/>
    </w:pPr>
    <w:rPr>
      <w:rFonts w:asciiTheme="minorHAnsi" w:eastAsiaTheme="minorEastAsia" w:hAnsiTheme="minorHAnsi"/>
      <w:b/>
      <w:bCs/>
      <w:i/>
      <w:iCs/>
      <w:sz w:val="26"/>
      <w:szCs w:val="26"/>
      <w:lang w:val="de-AT" w:bidi="en-US"/>
    </w:rPr>
  </w:style>
  <w:style w:type="paragraph" w:styleId="berschrift6">
    <w:name w:val="heading 6"/>
    <w:basedOn w:val="Standard"/>
    <w:next w:val="Standard"/>
    <w:link w:val="berschrift6Zchn"/>
    <w:uiPriority w:val="9"/>
    <w:semiHidden/>
    <w:unhideWhenUsed/>
    <w:qFormat/>
    <w:locked/>
    <w:rsid w:val="006F3E2D"/>
    <w:pPr>
      <w:numPr>
        <w:ilvl w:val="5"/>
        <w:numId w:val="34"/>
      </w:numPr>
      <w:spacing w:before="240" w:after="60" w:line="360" w:lineRule="auto"/>
      <w:outlineLvl w:val="5"/>
    </w:pPr>
    <w:rPr>
      <w:rFonts w:asciiTheme="minorHAnsi" w:eastAsiaTheme="minorEastAsia" w:hAnsiTheme="minorHAnsi"/>
      <w:b/>
      <w:bCs/>
      <w:lang w:val="de-AT" w:bidi="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locked/>
    <w:rsid w:val="00A72B7F"/>
    <w:rPr>
      <w:rFonts w:ascii="Arial" w:eastAsia="Batang" w:hAnsi="Arial" w:cs="Arial"/>
      <w:b/>
      <w:bCs/>
      <w:iCs/>
      <w:color w:val="333399"/>
      <w:sz w:val="24"/>
      <w:szCs w:val="23"/>
      <w:lang w:eastAsia="ar-SA"/>
    </w:rPr>
  </w:style>
  <w:style w:type="paragraph" w:styleId="Listenabsatz">
    <w:name w:val="List Paragraph"/>
    <w:basedOn w:val="Standard"/>
    <w:uiPriority w:val="99"/>
    <w:qFormat/>
    <w:rsid w:val="00340409"/>
    <w:pPr>
      <w:spacing w:after="0" w:line="360" w:lineRule="auto"/>
      <w:ind w:left="720"/>
    </w:pPr>
    <w:rPr>
      <w:sz w:val="24"/>
      <w:lang w:val="de-AT"/>
    </w:rPr>
  </w:style>
  <w:style w:type="character" w:styleId="Hyperlink">
    <w:name w:val="Hyperlink"/>
    <w:basedOn w:val="Absatz-Standardschriftart"/>
    <w:uiPriority w:val="99"/>
    <w:rsid w:val="00340409"/>
    <w:rPr>
      <w:rFonts w:cs="Times New Roman"/>
      <w:color w:val="0000FF"/>
      <w:u w:val="single"/>
    </w:rPr>
  </w:style>
  <w:style w:type="paragraph" w:styleId="Funotentext">
    <w:name w:val="footnote text"/>
    <w:basedOn w:val="Standard"/>
    <w:link w:val="FunotentextZchn"/>
    <w:uiPriority w:val="99"/>
    <w:semiHidden/>
    <w:unhideWhenUsed/>
    <w:rsid w:val="006F3E2D"/>
    <w:pPr>
      <w:spacing w:after="60" w:line="240" w:lineRule="auto"/>
      <w:ind w:left="284" w:hanging="284"/>
    </w:pPr>
    <w:rPr>
      <w:rFonts w:asciiTheme="minorHAnsi" w:eastAsiaTheme="minorEastAsia" w:hAnsiTheme="minorHAnsi"/>
      <w:sz w:val="20"/>
      <w:szCs w:val="20"/>
      <w:lang w:val="de-AT" w:bidi="en-US"/>
    </w:rPr>
  </w:style>
  <w:style w:type="character" w:customStyle="1" w:styleId="FunotentextZchn">
    <w:name w:val="Fußnotentext Zchn"/>
    <w:basedOn w:val="Absatz-Standardschriftart"/>
    <w:link w:val="Funotentext"/>
    <w:uiPriority w:val="99"/>
    <w:semiHidden/>
    <w:locked/>
    <w:rsid w:val="0040253F"/>
    <w:rPr>
      <w:rFonts w:asciiTheme="minorHAnsi" w:eastAsiaTheme="minorEastAsia" w:hAnsiTheme="minorHAnsi"/>
      <w:sz w:val="20"/>
      <w:szCs w:val="20"/>
      <w:lang w:val="de-AT" w:eastAsia="en-US" w:bidi="en-US"/>
    </w:rPr>
  </w:style>
  <w:style w:type="character" w:styleId="Funotenzeichen">
    <w:name w:val="footnote reference"/>
    <w:basedOn w:val="Absatz-Standardschriftart"/>
    <w:uiPriority w:val="99"/>
    <w:semiHidden/>
    <w:rsid w:val="00266290"/>
    <w:rPr>
      <w:rFonts w:cs="Times New Roman"/>
      <w:vertAlign w:val="superscript"/>
    </w:rPr>
  </w:style>
  <w:style w:type="paragraph" w:styleId="StandardWeb">
    <w:name w:val="Normal (Web)"/>
    <w:basedOn w:val="Standard"/>
    <w:uiPriority w:val="99"/>
    <w:rsid w:val="00784FD4"/>
    <w:pPr>
      <w:spacing w:before="100" w:beforeAutospacing="1" w:after="100" w:afterAutospacing="1" w:line="240" w:lineRule="auto"/>
    </w:pPr>
    <w:rPr>
      <w:rFonts w:ascii="Times New Roman" w:hAnsi="Times New Roman"/>
      <w:sz w:val="24"/>
      <w:szCs w:val="24"/>
      <w:lang w:eastAsia="cs-CZ"/>
    </w:rPr>
  </w:style>
  <w:style w:type="character" w:customStyle="1" w:styleId="fullstory1">
    <w:name w:val="fullstory1"/>
    <w:basedOn w:val="Absatz-Standardschriftart"/>
    <w:uiPriority w:val="99"/>
    <w:rsid w:val="00717E24"/>
    <w:rPr>
      <w:rFonts w:ascii="Verdana" w:hAnsi="Verdana" w:cs="Times New Roman"/>
      <w:color w:val="333333"/>
      <w:sz w:val="17"/>
      <w:szCs w:val="17"/>
    </w:rPr>
  </w:style>
  <w:style w:type="character" w:styleId="BesuchterHyperlink">
    <w:name w:val="FollowedHyperlink"/>
    <w:basedOn w:val="Absatz-Standardschriftart"/>
    <w:uiPriority w:val="99"/>
    <w:rsid w:val="009A2DEE"/>
    <w:rPr>
      <w:rFonts w:cs="Times New Roman"/>
      <w:color w:val="800080"/>
      <w:u w:val="single"/>
    </w:rPr>
  </w:style>
  <w:style w:type="character" w:styleId="Fett">
    <w:name w:val="Strong"/>
    <w:basedOn w:val="Absatz-Standardschriftart"/>
    <w:uiPriority w:val="99"/>
    <w:qFormat/>
    <w:locked/>
    <w:rsid w:val="009C7ED6"/>
    <w:rPr>
      <w:rFonts w:cs="Times New Roman"/>
      <w:b/>
      <w:bCs/>
    </w:rPr>
  </w:style>
  <w:style w:type="paragraph" w:customStyle="1" w:styleId="Default">
    <w:name w:val="Default"/>
    <w:uiPriority w:val="99"/>
    <w:rsid w:val="00852C52"/>
    <w:pPr>
      <w:autoSpaceDE w:val="0"/>
      <w:autoSpaceDN w:val="0"/>
      <w:adjustRightInd w:val="0"/>
    </w:pPr>
    <w:rPr>
      <w:rFonts w:ascii="BNNIKC+Arial" w:hAnsi="BNNIKC+Arial" w:cs="BNNIKC+Arial"/>
      <w:color w:val="000000"/>
      <w:sz w:val="24"/>
      <w:szCs w:val="24"/>
    </w:rPr>
  </w:style>
  <w:style w:type="paragraph" w:customStyle="1" w:styleId="BodyTextKeep">
    <w:name w:val="Body Text Keep"/>
    <w:basedOn w:val="Default"/>
    <w:next w:val="Default"/>
    <w:uiPriority w:val="99"/>
    <w:rsid w:val="00852C52"/>
    <w:rPr>
      <w:rFonts w:cs="Times New Roman"/>
      <w:color w:val="auto"/>
    </w:rPr>
  </w:style>
  <w:style w:type="character" w:customStyle="1" w:styleId="hps">
    <w:name w:val="hps"/>
    <w:basedOn w:val="Absatz-Standardschriftart"/>
    <w:uiPriority w:val="99"/>
    <w:rsid w:val="00433C55"/>
    <w:rPr>
      <w:rFonts w:cs="Times New Roman"/>
    </w:rPr>
  </w:style>
  <w:style w:type="character" w:customStyle="1" w:styleId="hpsatn">
    <w:name w:val="hps atn"/>
    <w:basedOn w:val="Absatz-Standardschriftart"/>
    <w:uiPriority w:val="99"/>
    <w:rsid w:val="00433C55"/>
    <w:rPr>
      <w:rFonts w:cs="Times New Roman"/>
    </w:rPr>
  </w:style>
  <w:style w:type="character" w:customStyle="1" w:styleId="gt-icon-text1">
    <w:name w:val="gt-icon-text1"/>
    <w:basedOn w:val="Absatz-Standardschriftart"/>
    <w:uiPriority w:val="99"/>
    <w:rsid w:val="00433C55"/>
    <w:rPr>
      <w:rFonts w:cs="Times New Roman"/>
    </w:rPr>
  </w:style>
  <w:style w:type="table" w:styleId="Tabellengitternetz">
    <w:name w:val="Table Grid"/>
    <w:basedOn w:val="NormaleTabelle"/>
    <w:uiPriority w:val="99"/>
    <w:locked/>
    <w:rsid w:val="009D6A2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
    <w:name w:val="Light Shading - Accent 11"/>
    <w:uiPriority w:val="99"/>
    <w:rsid w:val="009D6A23"/>
    <w:rPr>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styleId="HTMLZitat">
    <w:name w:val="HTML Cite"/>
    <w:basedOn w:val="Absatz-Standardschriftart"/>
    <w:uiPriority w:val="99"/>
    <w:rsid w:val="005A2F40"/>
    <w:rPr>
      <w:rFonts w:cs="Times New Roman"/>
      <w:color w:val="0E774A"/>
    </w:rPr>
  </w:style>
  <w:style w:type="character" w:styleId="Hervorhebung">
    <w:name w:val="Emphasis"/>
    <w:basedOn w:val="Absatz-Standardschriftart"/>
    <w:uiPriority w:val="99"/>
    <w:qFormat/>
    <w:locked/>
    <w:rsid w:val="005A2F40"/>
    <w:rPr>
      <w:rFonts w:cs="Times New Roman"/>
      <w:b/>
      <w:bCs/>
    </w:rPr>
  </w:style>
  <w:style w:type="character" w:customStyle="1" w:styleId="shorttext">
    <w:name w:val="short_text"/>
    <w:basedOn w:val="Absatz-Standardschriftart"/>
    <w:uiPriority w:val="99"/>
    <w:rsid w:val="00475521"/>
    <w:rPr>
      <w:rFonts w:cs="Times New Roman"/>
    </w:rPr>
  </w:style>
  <w:style w:type="character" w:customStyle="1" w:styleId="longtext">
    <w:name w:val="long_text"/>
    <w:basedOn w:val="Absatz-Standardschriftart"/>
    <w:uiPriority w:val="99"/>
    <w:rsid w:val="000A1481"/>
    <w:rPr>
      <w:rFonts w:cs="Times New Roman"/>
    </w:rPr>
  </w:style>
  <w:style w:type="table" w:styleId="TabelleEinfach1">
    <w:name w:val="Table Simple 1"/>
    <w:basedOn w:val="NormaleTabelle"/>
    <w:uiPriority w:val="99"/>
    <w:rsid w:val="008440B8"/>
    <w:rPr>
      <w:rFonts w:ascii="Times New Roman" w:eastAsia="Times New Roman" w:hAnsi="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HelleListe-Akzent11">
    <w:name w:val="Helle Liste - Akzent 11"/>
    <w:basedOn w:val="NormaleTabelle"/>
    <w:uiPriority w:val="99"/>
    <w:rsid w:val="008440B8"/>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styleId="HelleSchattierung-Akzent3">
    <w:name w:val="Light Shading Accent 3"/>
    <w:basedOn w:val="NormaleTabelle"/>
    <w:uiPriority w:val="99"/>
    <w:rsid w:val="0054172E"/>
    <w:rPr>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paragraph" w:styleId="Sprechblasentext">
    <w:name w:val="Balloon Text"/>
    <w:basedOn w:val="Standard"/>
    <w:link w:val="SprechblasentextZchn"/>
    <w:uiPriority w:val="99"/>
    <w:semiHidden/>
    <w:unhideWhenUsed/>
    <w:rsid w:val="00843FE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43FEE"/>
    <w:rPr>
      <w:rFonts w:ascii="Tahoma" w:hAnsi="Tahoma" w:cs="Tahoma"/>
      <w:sz w:val="16"/>
      <w:szCs w:val="16"/>
      <w:lang w:eastAsia="en-US"/>
    </w:rPr>
  </w:style>
  <w:style w:type="paragraph" w:customStyle="1" w:styleId="berschriftklein">
    <w:name w:val="Überschrift klein"/>
    <w:basedOn w:val="Standard"/>
    <w:uiPriority w:val="99"/>
    <w:rsid w:val="00D610E7"/>
    <w:pPr>
      <w:spacing w:after="0" w:line="360" w:lineRule="auto"/>
    </w:pPr>
    <w:rPr>
      <w:rFonts w:cs="Arial"/>
      <w:sz w:val="28"/>
      <w:szCs w:val="28"/>
      <w:lang w:val="en-US"/>
    </w:rPr>
  </w:style>
  <w:style w:type="paragraph" w:customStyle="1" w:styleId="Bildbeschriftung">
    <w:name w:val="Bildbeschriftung"/>
    <w:basedOn w:val="Standard"/>
    <w:uiPriority w:val="5"/>
    <w:qFormat/>
    <w:rsid w:val="00705EEE"/>
    <w:pPr>
      <w:spacing w:after="240" w:line="360" w:lineRule="auto"/>
      <w:jc w:val="center"/>
    </w:pPr>
    <w:rPr>
      <w:b/>
      <w:sz w:val="20"/>
      <w:lang w:val="en-US"/>
    </w:rPr>
  </w:style>
  <w:style w:type="paragraph" w:styleId="Fuzeile">
    <w:name w:val="footer"/>
    <w:basedOn w:val="Standard"/>
    <w:link w:val="FuzeileZchn"/>
    <w:uiPriority w:val="99"/>
    <w:unhideWhenUsed/>
    <w:rsid w:val="006F3E2D"/>
    <w:pPr>
      <w:tabs>
        <w:tab w:val="center" w:pos="4536"/>
        <w:tab w:val="right" w:pos="9072"/>
      </w:tabs>
      <w:spacing w:before="120" w:line="240" w:lineRule="auto"/>
    </w:pPr>
    <w:rPr>
      <w:rFonts w:asciiTheme="minorHAnsi" w:eastAsiaTheme="minorEastAsia" w:hAnsiTheme="minorHAnsi"/>
      <w:sz w:val="24"/>
      <w:szCs w:val="24"/>
      <w:lang w:val="de-AT" w:bidi="en-US"/>
    </w:rPr>
  </w:style>
  <w:style w:type="character" w:customStyle="1" w:styleId="FuzeileZchn">
    <w:name w:val="Fußzeile Zchn"/>
    <w:basedOn w:val="Absatz-Standardschriftart"/>
    <w:link w:val="Fuzeile"/>
    <w:uiPriority w:val="99"/>
    <w:rsid w:val="006F3E2D"/>
    <w:rPr>
      <w:rFonts w:asciiTheme="minorHAnsi" w:eastAsiaTheme="minorEastAsia" w:hAnsiTheme="minorHAnsi"/>
      <w:sz w:val="24"/>
      <w:szCs w:val="24"/>
      <w:lang w:val="de-AT" w:eastAsia="en-US" w:bidi="en-US"/>
    </w:rPr>
  </w:style>
  <w:style w:type="paragraph" w:styleId="Titel">
    <w:name w:val="Title"/>
    <w:basedOn w:val="Standard"/>
    <w:next w:val="Standard"/>
    <w:link w:val="TitelZchn"/>
    <w:uiPriority w:val="11"/>
    <w:qFormat/>
    <w:locked/>
    <w:rsid w:val="006F3E2D"/>
    <w:pPr>
      <w:spacing w:before="240" w:after="60" w:line="360" w:lineRule="auto"/>
      <w:outlineLvl w:val="0"/>
    </w:pPr>
    <w:rPr>
      <w:rFonts w:eastAsiaTheme="majorEastAsia"/>
      <w:b/>
      <w:bCs/>
      <w:kern w:val="28"/>
      <w:sz w:val="32"/>
      <w:szCs w:val="32"/>
      <w:lang w:val="de-AT" w:bidi="en-US"/>
    </w:rPr>
  </w:style>
  <w:style w:type="character" w:customStyle="1" w:styleId="TitelZchn">
    <w:name w:val="Titel Zchn"/>
    <w:basedOn w:val="Absatz-Standardschriftart"/>
    <w:link w:val="Titel"/>
    <w:uiPriority w:val="11"/>
    <w:rsid w:val="006F3E2D"/>
    <w:rPr>
      <w:rFonts w:ascii="Arial" w:eastAsiaTheme="majorEastAsia" w:hAnsi="Arial"/>
      <w:b/>
      <w:bCs/>
      <w:kern w:val="28"/>
      <w:sz w:val="32"/>
      <w:szCs w:val="32"/>
      <w:lang w:val="de-AT" w:eastAsia="en-US" w:bidi="en-US"/>
    </w:rPr>
  </w:style>
  <w:style w:type="character" w:customStyle="1" w:styleId="berschrift1Zchn">
    <w:name w:val="Überschrift 1 Zchn"/>
    <w:basedOn w:val="Absatz-Standardschriftart"/>
    <w:link w:val="berschrift1"/>
    <w:rsid w:val="00D06064"/>
    <w:rPr>
      <w:rFonts w:ascii="Arial" w:eastAsia="Batang" w:hAnsi="Arial" w:cs="Arial"/>
      <w:b/>
      <w:bCs/>
      <w:smallCaps/>
      <w:color w:val="333399"/>
      <w:kern w:val="1"/>
      <w:sz w:val="27"/>
      <w:szCs w:val="26"/>
      <w:lang w:eastAsia="ar-SA"/>
    </w:rPr>
  </w:style>
  <w:style w:type="character" w:customStyle="1" w:styleId="berschrift3Zchn">
    <w:name w:val="Überschrift 3 Zchn"/>
    <w:basedOn w:val="Absatz-Standardschriftart"/>
    <w:link w:val="berschrift3"/>
    <w:rsid w:val="006F3E2D"/>
    <w:rPr>
      <w:rFonts w:ascii="Arial" w:eastAsia="Batang" w:hAnsi="Arial" w:cs="Arial"/>
      <w:b/>
      <w:bCs/>
      <w:sz w:val="23"/>
      <w:szCs w:val="26"/>
      <w:lang w:eastAsia="ar-SA"/>
    </w:rPr>
  </w:style>
  <w:style w:type="character" w:customStyle="1" w:styleId="berschrift4Zchn">
    <w:name w:val="Überschrift 4 Zchn"/>
    <w:basedOn w:val="Absatz-Standardschriftart"/>
    <w:link w:val="berschrift4"/>
    <w:uiPriority w:val="4"/>
    <w:rsid w:val="006F3E2D"/>
    <w:rPr>
      <w:rFonts w:ascii="Arial" w:eastAsiaTheme="minorEastAsia" w:hAnsi="Arial"/>
      <w:b/>
      <w:bCs/>
      <w:szCs w:val="28"/>
      <w:lang w:val="de-AT" w:eastAsia="en-US" w:bidi="en-US"/>
    </w:rPr>
  </w:style>
  <w:style w:type="character" w:customStyle="1" w:styleId="berschrift5Zchn">
    <w:name w:val="Überschrift 5 Zchn"/>
    <w:basedOn w:val="Absatz-Standardschriftart"/>
    <w:link w:val="berschrift5"/>
    <w:uiPriority w:val="9"/>
    <w:semiHidden/>
    <w:rsid w:val="006F3E2D"/>
    <w:rPr>
      <w:rFonts w:asciiTheme="minorHAnsi" w:eastAsiaTheme="minorEastAsia" w:hAnsiTheme="minorHAnsi"/>
      <w:b/>
      <w:bCs/>
      <w:i/>
      <w:iCs/>
      <w:sz w:val="26"/>
      <w:szCs w:val="26"/>
      <w:lang w:val="de-AT" w:eastAsia="en-US" w:bidi="en-US"/>
    </w:rPr>
  </w:style>
  <w:style w:type="character" w:customStyle="1" w:styleId="berschrift6Zchn">
    <w:name w:val="Überschrift 6 Zchn"/>
    <w:basedOn w:val="Absatz-Standardschriftart"/>
    <w:link w:val="berschrift6"/>
    <w:uiPriority w:val="9"/>
    <w:semiHidden/>
    <w:rsid w:val="006F3E2D"/>
    <w:rPr>
      <w:rFonts w:asciiTheme="minorHAnsi" w:eastAsiaTheme="minorEastAsia" w:hAnsiTheme="minorHAnsi"/>
      <w:b/>
      <w:bCs/>
      <w:lang w:val="de-AT" w:eastAsia="en-US" w:bidi="en-US"/>
    </w:rPr>
  </w:style>
  <w:style w:type="paragraph" w:customStyle="1" w:styleId="Tabellentext">
    <w:name w:val="Tabellentext"/>
    <w:basedOn w:val="Standard"/>
    <w:uiPriority w:val="6"/>
    <w:qFormat/>
    <w:rsid w:val="006F3E2D"/>
    <w:pPr>
      <w:spacing w:before="60" w:after="60" w:line="240" w:lineRule="auto"/>
    </w:pPr>
    <w:rPr>
      <w:rFonts w:asciiTheme="minorHAnsi" w:eastAsiaTheme="minorEastAsia" w:hAnsiTheme="minorHAnsi"/>
      <w:sz w:val="20"/>
      <w:lang w:val="de-AT" w:bidi="en-US"/>
    </w:rPr>
  </w:style>
  <w:style w:type="paragraph" w:customStyle="1" w:styleId="Tabellenbeschriftung">
    <w:name w:val="Tabellenbeschriftung"/>
    <w:basedOn w:val="Beschriftung"/>
    <w:next w:val="Standard"/>
    <w:link w:val="TabellenbeschriftungZchn"/>
    <w:uiPriority w:val="8"/>
    <w:qFormat/>
    <w:rsid w:val="00391FA8"/>
    <w:pPr>
      <w:keepLines/>
      <w:tabs>
        <w:tab w:val="left" w:pos="1418"/>
      </w:tabs>
      <w:spacing w:before="480"/>
      <w:ind w:left="1134" w:hanging="1134"/>
      <w:jc w:val="center"/>
    </w:pPr>
    <w:rPr>
      <w:rFonts w:eastAsiaTheme="minorEastAsia"/>
      <w:color w:val="auto"/>
      <w:lang w:val="de-AT" w:bidi="en-US"/>
    </w:rPr>
  </w:style>
  <w:style w:type="paragraph" w:styleId="Beschriftung">
    <w:name w:val="caption"/>
    <w:basedOn w:val="Standard"/>
    <w:next w:val="Standard"/>
    <w:link w:val="BeschriftungZchn"/>
    <w:unhideWhenUsed/>
    <w:qFormat/>
    <w:locked/>
    <w:rsid w:val="006F3E2D"/>
    <w:pPr>
      <w:spacing w:line="240" w:lineRule="auto"/>
    </w:pPr>
    <w:rPr>
      <w:b/>
      <w:bCs/>
      <w:color w:val="4F81BD" w:themeColor="accent1"/>
      <w:sz w:val="18"/>
      <w:szCs w:val="18"/>
    </w:rPr>
  </w:style>
  <w:style w:type="paragraph" w:customStyle="1" w:styleId="Abbildung">
    <w:name w:val="Abbildung"/>
    <w:basedOn w:val="Standard"/>
    <w:next w:val="Beschriftung"/>
    <w:link w:val="AbbildungZchn"/>
    <w:uiPriority w:val="6"/>
    <w:qFormat/>
    <w:rsid w:val="00705EEE"/>
    <w:pPr>
      <w:spacing w:before="480" w:after="240" w:line="240" w:lineRule="auto"/>
      <w:jc w:val="center"/>
    </w:pPr>
    <w:rPr>
      <w:rFonts w:eastAsiaTheme="minorEastAsia"/>
      <w:b/>
      <w:szCs w:val="24"/>
      <w:lang w:val="de-AT" w:bidi="en-US"/>
    </w:rPr>
  </w:style>
  <w:style w:type="paragraph" w:customStyle="1" w:styleId="Aufzhlung">
    <w:name w:val="Aufzählung"/>
    <w:basedOn w:val="Standard"/>
    <w:uiPriority w:val="5"/>
    <w:qFormat/>
    <w:rsid w:val="00DC7746"/>
    <w:pPr>
      <w:numPr>
        <w:numId w:val="36"/>
      </w:numPr>
      <w:spacing w:before="120"/>
      <w:ind w:left="714" w:hanging="357"/>
    </w:pPr>
    <w:rPr>
      <w:rFonts w:eastAsiaTheme="minorEastAsia"/>
      <w:szCs w:val="24"/>
      <w:lang w:val="de-AT" w:bidi="en-US"/>
    </w:rPr>
  </w:style>
  <w:style w:type="paragraph" w:styleId="Inhaltsverzeichnisberschrift">
    <w:name w:val="TOC Heading"/>
    <w:basedOn w:val="berschrift1"/>
    <w:next w:val="Standard"/>
    <w:uiPriority w:val="39"/>
    <w:semiHidden/>
    <w:unhideWhenUsed/>
    <w:qFormat/>
    <w:rsid w:val="006F3E2D"/>
    <w:pPr>
      <w:keepLines/>
      <w:numPr>
        <w:numId w:val="0"/>
      </w:numPr>
      <w:suppressAutoHyphens w:val="0"/>
      <w:spacing w:after="0" w:line="276" w:lineRule="auto"/>
      <w:outlineLvl w:val="9"/>
    </w:pPr>
    <w:rPr>
      <w:rFonts w:asciiTheme="majorHAnsi" w:hAnsiTheme="majorHAnsi" w:cstheme="majorBidi"/>
      <w:color w:val="365F91" w:themeColor="accent1" w:themeShade="BF"/>
      <w:kern w:val="0"/>
      <w:sz w:val="28"/>
      <w:szCs w:val="28"/>
      <w:lang w:val="de-DE"/>
    </w:rPr>
  </w:style>
  <w:style w:type="paragraph" w:styleId="Verzeichnis1">
    <w:name w:val="toc 1"/>
    <w:basedOn w:val="Standard"/>
    <w:next w:val="Standard"/>
    <w:autoRedefine/>
    <w:uiPriority w:val="39"/>
    <w:qFormat/>
    <w:locked/>
    <w:rsid w:val="006F3E2D"/>
    <w:pPr>
      <w:spacing w:after="100"/>
    </w:pPr>
  </w:style>
  <w:style w:type="paragraph" w:styleId="Verzeichnis2">
    <w:name w:val="toc 2"/>
    <w:basedOn w:val="Standard"/>
    <w:next w:val="Standard"/>
    <w:autoRedefine/>
    <w:uiPriority w:val="39"/>
    <w:unhideWhenUsed/>
    <w:qFormat/>
    <w:locked/>
    <w:rsid w:val="006F3E2D"/>
    <w:pPr>
      <w:spacing w:after="100" w:line="276" w:lineRule="auto"/>
      <w:ind w:left="220"/>
    </w:pPr>
    <w:rPr>
      <w:rFonts w:asciiTheme="minorHAnsi" w:eastAsiaTheme="minorEastAsia" w:hAnsiTheme="minorHAnsi" w:cstheme="minorBidi"/>
      <w:lang w:val="de-DE"/>
    </w:rPr>
  </w:style>
  <w:style w:type="paragraph" w:styleId="Verzeichnis3">
    <w:name w:val="toc 3"/>
    <w:basedOn w:val="Standard"/>
    <w:next w:val="Standard"/>
    <w:autoRedefine/>
    <w:uiPriority w:val="39"/>
    <w:unhideWhenUsed/>
    <w:qFormat/>
    <w:locked/>
    <w:rsid w:val="006F3E2D"/>
    <w:pPr>
      <w:spacing w:after="100" w:line="276" w:lineRule="auto"/>
      <w:ind w:left="440"/>
    </w:pPr>
    <w:rPr>
      <w:rFonts w:asciiTheme="minorHAnsi" w:eastAsiaTheme="minorEastAsia" w:hAnsiTheme="minorHAnsi" w:cstheme="minorBidi"/>
      <w:lang w:val="de-DE"/>
    </w:rPr>
  </w:style>
  <w:style w:type="paragraph" w:styleId="Kopfzeile">
    <w:name w:val="header"/>
    <w:basedOn w:val="Standard"/>
    <w:link w:val="KopfzeileZchn"/>
    <w:uiPriority w:val="99"/>
    <w:semiHidden/>
    <w:unhideWhenUsed/>
    <w:rsid w:val="007139D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7139D2"/>
    <w:rPr>
      <w:rFonts w:ascii="Arial" w:hAnsi="Arial"/>
      <w:lang w:eastAsia="en-US"/>
    </w:rPr>
  </w:style>
  <w:style w:type="paragraph" w:styleId="Dokumentstruktur">
    <w:name w:val="Document Map"/>
    <w:basedOn w:val="Standard"/>
    <w:link w:val="DokumentstrukturZchn"/>
    <w:uiPriority w:val="99"/>
    <w:semiHidden/>
    <w:unhideWhenUsed/>
    <w:rsid w:val="00705EEE"/>
    <w:pPr>
      <w:spacing w:after="0" w:line="240" w:lineRule="auto"/>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705EEE"/>
    <w:rPr>
      <w:rFonts w:ascii="Tahoma" w:hAnsi="Tahoma" w:cs="Tahoma"/>
      <w:sz w:val="16"/>
      <w:szCs w:val="16"/>
      <w:lang w:eastAsia="en-US"/>
    </w:rPr>
  </w:style>
  <w:style w:type="paragraph" w:styleId="Abbildungsverzeichnis">
    <w:name w:val="table of figures"/>
    <w:basedOn w:val="Standard"/>
    <w:next w:val="Standard"/>
    <w:uiPriority w:val="99"/>
    <w:unhideWhenUsed/>
    <w:rsid w:val="00A32658"/>
    <w:pPr>
      <w:spacing w:after="0"/>
    </w:pPr>
  </w:style>
  <w:style w:type="character" w:customStyle="1" w:styleId="BeschriftungZchn">
    <w:name w:val="Beschriftung Zchn"/>
    <w:basedOn w:val="Absatz-Standardschriftart"/>
    <w:link w:val="Beschriftung"/>
    <w:rsid w:val="002C4350"/>
    <w:rPr>
      <w:rFonts w:ascii="Arial" w:hAnsi="Arial"/>
      <w:b/>
      <w:bCs/>
      <w:color w:val="4F81BD" w:themeColor="accent1"/>
      <w:sz w:val="18"/>
      <w:szCs w:val="18"/>
      <w:lang w:eastAsia="en-US"/>
    </w:rPr>
  </w:style>
  <w:style w:type="character" w:customStyle="1" w:styleId="TabellenbeschriftungZchn">
    <w:name w:val="Tabellenbeschriftung Zchn"/>
    <w:basedOn w:val="BeschriftungZchn"/>
    <w:link w:val="Tabellenbeschriftung"/>
    <w:uiPriority w:val="8"/>
    <w:rsid w:val="002C4350"/>
    <w:rPr>
      <w:rFonts w:eastAsiaTheme="minorEastAsia"/>
      <w:lang w:val="de-AT" w:bidi="en-US"/>
    </w:rPr>
  </w:style>
  <w:style w:type="table" w:styleId="MittlereSchattierung1-Akzent3">
    <w:name w:val="Medium Shading 1 Accent 3"/>
    <w:basedOn w:val="NormaleTabelle"/>
    <w:uiPriority w:val="63"/>
    <w:rsid w:val="0059776C"/>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HelleListe-Akzent3">
    <w:name w:val="Light List Accent 3"/>
    <w:basedOn w:val="NormaleTabelle"/>
    <w:uiPriority w:val="61"/>
    <w:rsid w:val="0059776C"/>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AbbildungZchn">
    <w:name w:val="Abbildung Zchn"/>
    <w:basedOn w:val="Absatz-Standardschriftart"/>
    <w:link w:val="Abbildung"/>
    <w:uiPriority w:val="6"/>
    <w:rsid w:val="00F15115"/>
    <w:rPr>
      <w:rFonts w:ascii="Arial" w:eastAsiaTheme="minorEastAsia" w:hAnsi="Arial"/>
      <w:b/>
      <w:szCs w:val="24"/>
      <w:lang w:val="de-AT" w:eastAsia="en-US" w:bidi="en-US"/>
    </w:rPr>
  </w:style>
</w:styles>
</file>

<file path=word/webSettings.xml><?xml version="1.0" encoding="utf-8"?>
<w:webSettings xmlns:r="http://schemas.openxmlformats.org/officeDocument/2006/relationships" xmlns:w="http://schemas.openxmlformats.org/wordprocessingml/2006/main">
  <w:divs>
    <w:div w:id="298608694">
      <w:marLeft w:val="0"/>
      <w:marRight w:val="0"/>
      <w:marTop w:val="0"/>
      <w:marBottom w:val="0"/>
      <w:divBdr>
        <w:top w:val="none" w:sz="0" w:space="0" w:color="auto"/>
        <w:left w:val="none" w:sz="0" w:space="0" w:color="auto"/>
        <w:bottom w:val="none" w:sz="0" w:space="0" w:color="auto"/>
        <w:right w:val="none" w:sz="0" w:space="0" w:color="auto"/>
      </w:divBdr>
      <w:divsChild>
        <w:div w:id="298608898">
          <w:marLeft w:val="0"/>
          <w:marRight w:val="0"/>
          <w:marTop w:val="0"/>
          <w:marBottom w:val="0"/>
          <w:divBdr>
            <w:top w:val="none" w:sz="0" w:space="0" w:color="auto"/>
            <w:left w:val="none" w:sz="0" w:space="0" w:color="auto"/>
            <w:bottom w:val="none" w:sz="0" w:space="0" w:color="auto"/>
            <w:right w:val="none" w:sz="0" w:space="0" w:color="auto"/>
          </w:divBdr>
          <w:divsChild>
            <w:div w:id="298608689">
              <w:marLeft w:val="0"/>
              <w:marRight w:val="0"/>
              <w:marTop w:val="0"/>
              <w:marBottom w:val="0"/>
              <w:divBdr>
                <w:top w:val="none" w:sz="0" w:space="0" w:color="auto"/>
                <w:left w:val="none" w:sz="0" w:space="0" w:color="auto"/>
                <w:bottom w:val="none" w:sz="0" w:space="0" w:color="auto"/>
                <w:right w:val="none" w:sz="0" w:space="0" w:color="auto"/>
              </w:divBdr>
              <w:divsChild>
                <w:div w:id="298608776">
                  <w:marLeft w:val="0"/>
                  <w:marRight w:val="0"/>
                  <w:marTop w:val="0"/>
                  <w:marBottom w:val="0"/>
                  <w:divBdr>
                    <w:top w:val="none" w:sz="0" w:space="0" w:color="auto"/>
                    <w:left w:val="none" w:sz="0" w:space="0" w:color="auto"/>
                    <w:bottom w:val="none" w:sz="0" w:space="0" w:color="auto"/>
                    <w:right w:val="none" w:sz="0" w:space="0" w:color="auto"/>
                  </w:divBdr>
                  <w:divsChild>
                    <w:div w:id="298608720">
                      <w:marLeft w:val="0"/>
                      <w:marRight w:val="0"/>
                      <w:marTop w:val="0"/>
                      <w:marBottom w:val="0"/>
                      <w:divBdr>
                        <w:top w:val="none" w:sz="0" w:space="0" w:color="auto"/>
                        <w:left w:val="none" w:sz="0" w:space="0" w:color="auto"/>
                        <w:bottom w:val="none" w:sz="0" w:space="0" w:color="auto"/>
                        <w:right w:val="none" w:sz="0" w:space="0" w:color="auto"/>
                      </w:divBdr>
                      <w:divsChild>
                        <w:div w:id="298608909">
                          <w:marLeft w:val="0"/>
                          <w:marRight w:val="0"/>
                          <w:marTop w:val="0"/>
                          <w:marBottom w:val="0"/>
                          <w:divBdr>
                            <w:top w:val="none" w:sz="0" w:space="0" w:color="auto"/>
                            <w:left w:val="none" w:sz="0" w:space="0" w:color="auto"/>
                            <w:bottom w:val="none" w:sz="0" w:space="0" w:color="auto"/>
                            <w:right w:val="none" w:sz="0" w:space="0" w:color="auto"/>
                          </w:divBdr>
                          <w:divsChild>
                            <w:div w:id="298608788">
                              <w:marLeft w:val="0"/>
                              <w:marRight w:val="0"/>
                              <w:marTop w:val="0"/>
                              <w:marBottom w:val="0"/>
                              <w:divBdr>
                                <w:top w:val="none" w:sz="0" w:space="0" w:color="auto"/>
                                <w:left w:val="none" w:sz="0" w:space="0" w:color="auto"/>
                                <w:bottom w:val="none" w:sz="0" w:space="0" w:color="auto"/>
                                <w:right w:val="none" w:sz="0" w:space="0" w:color="auto"/>
                              </w:divBdr>
                              <w:divsChild>
                                <w:div w:id="29860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8608703">
      <w:marLeft w:val="0"/>
      <w:marRight w:val="0"/>
      <w:marTop w:val="0"/>
      <w:marBottom w:val="0"/>
      <w:divBdr>
        <w:top w:val="none" w:sz="0" w:space="0" w:color="auto"/>
        <w:left w:val="none" w:sz="0" w:space="0" w:color="auto"/>
        <w:bottom w:val="none" w:sz="0" w:space="0" w:color="auto"/>
        <w:right w:val="none" w:sz="0" w:space="0" w:color="auto"/>
      </w:divBdr>
    </w:div>
    <w:div w:id="298608709">
      <w:marLeft w:val="0"/>
      <w:marRight w:val="0"/>
      <w:marTop w:val="0"/>
      <w:marBottom w:val="0"/>
      <w:divBdr>
        <w:top w:val="none" w:sz="0" w:space="0" w:color="auto"/>
        <w:left w:val="none" w:sz="0" w:space="0" w:color="auto"/>
        <w:bottom w:val="none" w:sz="0" w:space="0" w:color="auto"/>
        <w:right w:val="none" w:sz="0" w:space="0" w:color="auto"/>
      </w:divBdr>
      <w:divsChild>
        <w:div w:id="298608721">
          <w:marLeft w:val="0"/>
          <w:marRight w:val="0"/>
          <w:marTop w:val="0"/>
          <w:marBottom w:val="0"/>
          <w:divBdr>
            <w:top w:val="none" w:sz="0" w:space="0" w:color="auto"/>
            <w:left w:val="none" w:sz="0" w:space="0" w:color="auto"/>
            <w:bottom w:val="none" w:sz="0" w:space="0" w:color="auto"/>
            <w:right w:val="none" w:sz="0" w:space="0" w:color="auto"/>
          </w:divBdr>
          <w:divsChild>
            <w:div w:id="298608695">
              <w:marLeft w:val="0"/>
              <w:marRight w:val="0"/>
              <w:marTop w:val="0"/>
              <w:marBottom w:val="0"/>
              <w:divBdr>
                <w:top w:val="none" w:sz="0" w:space="0" w:color="auto"/>
                <w:left w:val="none" w:sz="0" w:space="0" w:color="auto"/>
                <w:bottom w:val="none" w:sz="0" w:space="0" w:color="auto"/>
                <w:right w:val="none" w:sz="0" w:space="0" w:color="auto"/>
              </w:divBdr>
              <w:divsChild>
                <w:div w:id="298608780">
                  <w:marLeft w:val="0"/>
                  <w:marRight w:val="0"/>
                  <w:marTop w:val="0"/>
                  <w:marBottom w:val="0"/>
                  <w:divBdr>
                    <w:top w:val="none" w:sz="0" w:space="0" w:color="auto"/>
                    <w:left w:val="none" w:sz="0" w:space="0" w:color="auto"/>
                    <w:bottom w:val="none" w:sz="0" w:space="0" w:color="auto"/>
                    <w:right w:val="none" w:sz="0" w:space="0" w:color="auto"/>
                  </w:divBdr>
                  <w:divsChild>
                    <w:div w:id="298608708">
                      <w:marLeft w:val="0"/>
                      <w:marRight w:val="0"/>
                      <w:marTop w:val="0"/>
                      <w:marBottom w:val="0"/>
                      <w:divBdr>
                        <w:top w:val="none" w:sz="0" w:space="0" w:color="auto"/>
                        <w:left w:val="none" w:sz="0" w:space="0" w:color="auto"/>
                        <w:bottom w:val="none" w:sz="0" w:space="0" w:color="auto"/>
                        <w:right w:val="none" w:sz="0" w:space="0" w:color="auto"/>
                      </w:divBdr>
                      <w:divsChild>
                        <w:div w:id="298608719">
                          <w:marLeft w:val="0"/>
                          <w:marRight w:val="0"/>
                          <w:marTop w:val="0"/>
                          <w:marBottom w:val="0"/>
                          <w:divBdr>
                            <w:top w:val="none" w:sz="0" w:space="0" w:color="auto"/>
                            <w:left w:val="none" w:sz="0" w:space="0" w:color="auto"/>
                            <w:bottom w:val="none" w:sz="0" w:space="0" w:color="auto"/>
                            <w:right w:val="none" w:sz="0" w:space="0" w:color="auto"/>
                          </w:divBdr>
                        </w:div>
                        <w:div w:id="298608722">
                          <w:marLeft w:val="0"/>
                          <w:marRight w:val="0"/>
                          <w:marTop w:val="0"/>
                          <w:marBottom w:val="0"/>
                          <w:divBdr>
                            <w:top w:val="none" w:sz="0" w:space="0" w:color="auto"/>
                            <w:left w:val="none" w:sz="0" w:space="0" w:color="auto"/>
                            <w:bottom w:val="none" w:sz="0" w:space="0" w:color="auto"/>
                            <w:right w:val="none" w:sz="0" w:space="0" w:color="auto"/>
                          </w:divBdr>
                        </w:div>
                        <w:div w:id="298608739">
                          <w:marLeft w:val="0"/>
                          <w:marRight w:val="0"/>
                          <w:marTop w:val="0"/>
                          <w:marBottom w:val="0"/>
                          <w:divBdr>
                            <w:top w:val="none" w:sz="0" w:space="0" w:color="auto"/>
                            <w:left w:val="none" w:sz="0" w:space="0" w:color="auto"/>
                            <w:bottom w:val="none" w:sz="0" w:space="0" w:color="auto"/>
                            <w:right w:val="none" w:sz="0" w:space="0" w:color="auto"/>
                          </w:divBdr>
                        </w:div>
                        <w:div w:id="298608782">
                          <w:marLeft w:val="0"/>
                          <w:marRight w:val="0"/>
                          <w:marTop w:val="0"/>
                          <w:marBottom w:val="0"/>
                          <w:divBdr>
                            <w:top w:val="none" w:sz="0" w:space="0" w:color="auto"/>
                            <w:left w:val="none" w:sz="0" w:space="0" w:color="auto"/>
                            <w:bottom w:val="none" w:sz="0" w:space="0" w:color="auto"/>
                            <w:right w:val="none" w:sz="0" w:space="0" w:color="auto"/>
                          </w:divBdr>
                        </w:div>
                        <w:div w:id="298608789">
                          <w:marLeft w:val="0"/>
                          <w:marRight w:val="0"/>
                          <w:marTop w:val="0"/>
                          <w:marBottom w:val="0"/>
                          <w:divBdr>
                            <w:top w:val="none" w:sz="0" w:space="0" w:color="auto"/>
                            <w:left w:val="none" w:sz="0" w:space="0" w:color="auto"/>
                            <w:bottom w:val="none" w:sz="0" w:space="0" w:color="auto"/>
                            <w:right w:val="none" w:sz="0" w:space="0" w:color="auto"/>
                          </w:divBdr>
                        </w:div>
                        <w:div w:id="298608876">
                          <w:marLeft w:val="0"/>
                          <w:marRight w:val="0"/>
                          <w:marTop w:val="0"/>
                          <w:marBottom w:val="0"/>
                          <w:divBdr>
                            <w:top w:val="none" w:sz="0" w:space="0" w:color="auto"/>
                            <w:left w:val="none" w:sz="0" w:space="0" w:color="auto"/>
                            <w:bottom w:val="none" w:sz="0" w:space="0" w:color="auto"/>
                            <w:right w:val="none" w:sz="0" w:space="0" w:color="auto"/>
                          </w:divBdr>
                        </w:div>
                        <w:div w:id="298608878">
                          <w:marLeft w:val="0"/>
                          <w:marRight w:val="0"/>
                          <w:marTop w:val="0"/>
                          <w:marBottom w:val="0"/>
                          <w:divBdr>
                            <w:top w:val="none" w:sz="0" w:space="0" w:color="auto"/>
                            <w:left w:val="none" w:sz="0" w:space="0" w:color="auto"/>
                            <w:bottom w:val="none" w:sz="0" w:space="0" w:color="auto"/>
                            <w:right w:val="none" w:sz="0" w:space="0" w:color="auto"/>
                          </w:divBdr>
                        </w:div>
                        <w:div w:id="298608899">
                          <w:marLeft w:val="0"/>
                          <w:marRight w:val="0"/>
                          <w:marTop w:val="0"/>
                          <w:marBottom w:val="0"/>
                          <w:divBdr>
                            <w:top w:val="none" w:sz="0" w:space="0" w:color="auto"/>
                            <w:left w:val="none" w:sz="0" w:space="0" w:color="auto"/>
                            <w:bottom w:val="none" w:sz="0" w:space="0" w:color="auto"/>
                            <w:right w:val="none" w:sz="0" w:space="0" w:color="auto"/>
                          </w:divBdr>
                        </w:div>
                        <w:div w:id="29860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8608723">
      <w:marLeft w:val="0"/>
      <w:marRight w:val="0"/>
      <w:marTop w:val="0"/>
      <w:marBottom w:val="0"/>
      <w:divBdr>
        <w:top w:val="none" w:sz="0" w:space="0" w:color="auto"/>
        <w:left w:val="none" w:sz="0" w:space="0" w:color="auto"/>
        <w:bottom w:val="none" w:sz="0" w:space="0" w:color="auto"/>
        <w:right w:val="none" w:sz="0" w:space="0" w:color="auto"/>
      </w:divBdr>
      <w:divsChild>
        <w:div w:id="298608712">
          <w:marLeft w:val="547"/>
          <w:marRight w:val="0"/>
          <w:marTop w:val="58"/>
          <w:marBottom w:val="0"/>
          <w:divBdr>
            <w:top w:val="none" w:sz="0" w:space="0" w:color="auto"/>
            <w:left w:val="none" w:sz="0" w:space="0" w:color="auto"/>
            <w:bottom w:val="none" w:sz="0" w:space="0" w:color="auto"/>
            <w:right w:val="none" w:sz="0" w:space="0" w:color="auto"/>
          </w:divBdr>
        </w:div>
      </w:divsChild>
    </w:div>
    <w:div w:id="298608745">
      <w:marLeft w:val="0"/>
      <w:marRight w:val="0"/>
      <w:marTop w:val="0"/>
      <w:marBottom w:val="0"/>
      <w:divBdr>
        <w:top w:val="none" w:sz="0" w:space="0" w:color="auto"/>
        <w:left w:val="none" w:sz="0" w:space="0" w:color="auto"/>
        <w:bottom w:val="none" w:sz="0" w:space="0" w:color="auto"/>
        <w:right w:val="none" w:sz="0" w:space="0" w:color="auto"/>
      </w:divBdr>
      <w:divsChild>
        <w:div w:id="298608714">
          <w:marLeft w:val="0"/>
          <w:marRight w:val="0"/>
          <w:marTop w:val="0"/>
          <w:marBottom w:val="0"/>
          <w:divBdr>
            <w:top w:val="none" w:sz="0" w:space="0" w:color="auto"/>
            <w:left w:val="none" w:sz="0" w:space="0" w:color="auto"/>
            <w:bottom w:val="none" w:sz="0" w:space="0" w:color="auto"/>
            <w:right w:val="none" w:sz="0" w:space="0" w:color="auto"/>
          </w:divBdr>
          <w:divsChild>
            <w:div w:id="298608886">
              <w:marLeft w:val="0"/>
              <w:marRight w:val="0"/>
              <w:marTop w:val="0"/>
              <w:marBottom w:val="0"/>
              <w:divBdr>
                <w:top w:val="none" w:sz="0" w:space="0" w:color="auto"/>
                <w:left w:val="none" w:sz="0" w:space="0" w:color="auto"/>
                <w:bottom w:val="none" w:sz="0" w:space="0" w:color="auto"/>
                <w:right w:val="none" w:sz="0" w:space="0" w:color="auto"/>
              </w:divBdr>
              <w:divsChild>
                <w:div w:id="298608683">
                  <w:marLeft w:val="0"/>
                  <w:marRight w:val="0"/>
                  <w:marTop w:val="0"/>
                  <w:marBottom w:val="0"/>
                  <w:divBdr>
                    <w:top w:val="none" w:sz="0" w:space="0" w:color="auto"/>
                    <w:left w:val="none" w:sz="0" w:space="0" w:color="auto"/>
                    <w:bottom w:val="none" w:sz="0" w:space="0" w:color="auto"/>
                    <w:right w:val="none" w:sz="0" w:space="0" w:color="auto"/>
                  </w:divBdr>
                  <w:divsChild>
                    <w:div w:id="29860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608746">
      <w:marLeft w:val="0"/>
      <w:marRight w:val="0"/>
      <w:marTop w:val="0"/>
      <w:marBottom w:val="0"/>
      <w:divBdr>
        <w:top w:val="none" w:sz="0" w:space="0" w:color="auto"/>
        <w:left w:val="none" w:sz="0" w:space="0" w:color="auto"/>
        <w:bottom w:val="none" w:sz="0" w:space="0" w:color="auto"/>
        <w:right w:val="none" w:sz="0" w:space="0" w:color="auto"/>
      </w:divBdr>
      <w:divsChild>
        <w:div w:id="298608760">
          <w:marLeft w:val="0"/>
          <w:marRight w:val="0"/>
          <w:marTop w:val="0"/>
          <w:marBottom w:val="0"/>
          <w:divBdr>
            <w:top w:val="none" w:sz="0" w:space="0" w:color="auto"/>
            <w:left w:val="none" w:sz="0" w:space="0" w:color="auto"/>
            <w:bottom w:val="none" w:sz="0" w:space="0" w:color="auto"/>
            <w:right w:val="none" w:sz="0" w:space="0" w:color="auto"/>
          </w:divBdr>
          <w:divsChild>
            <w:div w:id="298608794">
              <w:marLeft w:val="0"/>
              <w:marRight w:val="0"/>
              <w:marTop w:val="0"/>
              <w:marBottom w:val="0"/>
              <w:divBdr>
                <w:top w:val="none" w:sz="0" w:space="0" w:color="auto"/>
                <w:left w:val="none" w:sz="0" w:space="0" w:color="auto"/>
                <w:bottom w:val="none" w:sz="0" w:space="0" w:color="auto"/>
                <w:right w:val="none" w:sz="0" w:space="0" w:color="auto"/>
              </w:divBdr>
              <w:divsChild>
                <w:div w:id="298608874">
                  <w:marLeft w:val="0"/>
                  <w:marRight w:val="0"/>
                  <w:marTop w:val="0"/>
                  <w:marBottom w:val="0"/>
                  <w:divBdr>
                    <w:top w:val="none" w:sz="0" w:space="0" w:color="auto"/>
                    <w:left w:val="none" w:sz="0" w:space="0" w:color="auto"/>
                    <w:bottom w:val="none" w:sz="0" w:space="0" w:color="auto"/>
                    <w:right w:val="none" w:sz="0" w:space="0" w:color="auto"/>
                  </w:divBdr>
                  <w:divsChild>
                    <w:div w:id="298608885">
                      <w:marLeft w:val="0"/>
                      <w:marRight w:val="0"/>
                      <w:marTop w:val="0"/>
                      <w:marBottom w:val="0"/>
                      <w:divBdr>
                        <w:top w:val="single" w:sz="24" w:space="0" w:color="E8E8E8"/>
                        <w:left w:val="none" w:sz="0" w:space="0" w:color="auto"/>
                        <w:bottom w:val="none" w:sz="0" w:space="0" w:color="auto"/>
                        <w:right w:val="none" w:sz="0" w:space="0" w:color="auto"/>
                      </w:divBdr>
                      <w:divsChild>
                        <w:div w:id="298608697">
                          <w:marLeft w:val="0"/>
                          <w:marRight w:val="5415"/>
                          <w:marTop w:val="0"/>
                          <w:marBottom w:val="0"/>
                          <w:divBdr>
                            <w:top w:val="none" w:sz="0" w:space="0" w:color="auto"/>
                            <w:left w:val="none" w:sz="0" w:space="0" w:color="auto"/>
                            <w:bottom w:val="none" w:sz="0" w:space="0" w:color="auto"/>
                            <w:right w:val="none" w:sz="0" w:space="0" w:color="auto"/>
                          </w:divBdr>
                          <w:divsChild>
                            <w:div w:id="298608750">
                              <w:marLeft w:val="0"/>
                              <w:marRight w:val="0"/>
                              <w:marTop w:val="0"/>
                              <w:marBottom w:val="0"/>
                              <w:divBdr>
                                <w:top w:val="single" w:sz="6" w:space="0" w:color="9B9B9B"/>
                                <w:left w:val="none" w:sz="0" w:space="0" w:color="auto"/>
                                <w:bottom w:val="none" w:sz="0" w:space="0" w:color="auto"/>
                                <w:right w:val="none" w:sz="0" w:space="0" w:color="auto"/>
                              </w:divBdr>
                              <w:divsChild>
                                <w:div w:id="298608749">
                                  <w:marLeft w:val="0"/>
                                  <w:marRight w:val="0"/>
                                  <w:marTop w:val="0"/>
                                  <w:marBottom w:val="0"/>
                                  <w:divBdr>
                                    <w:top w:val="single" w:sz="6" w:space="0" w:color="FFFFFF"/>
                                    <w:left w:val="none" w:sz="0" w:space="0" w:color="auto"/>
                                    <w:bottom w:val="none" w:sz="0" w:space="0" w:color="auto"/>
                                    <w:right w:val="none" w:sz="0" w:space="0" w:color="auto"/>
                                  </w:divBdr>
                                  <w:divsChild>
                                    <w:div w:id="298608759">
                                      <w:marLeft w:val="0"/>
                                      <w:marRight w:val="0"/>
                                      <w:marTop w:val="0"/>
                                      <w:marBottom w:val="0"/>
                                      <w:divBdr>
                                        <w:top w:val="none" w:sz="0" w:space="0" w:color="auto"/>
                                        <w:left w:val="none" w:sz="0" w:space="0" w:color="auto"/>
                                        <w:bottom w:val="none" w:sz="0" w:space="0" w:color="auto"/>
                                        <w:right w:val="none" w:sz="0" w:space="0" w:color="auto"/>
                                      </w:divBdr>
                                      <w:divsChild>
                                        <w:div w:id="298608762">
                                          <w:marLeft w:val="0"/>
                                          <w:marRight w:val="0"/>
                                          <w:marTop w:val="0"/>
                                          <w:marBottom w:val="0"/>
                                          <w:divBdr>
                                            <w:top w:val="none" w:sz="0" w:space="0" w:color="auto"/>
                                            <w:left w:val="none" w:sz="0" w:space="0" w:color="auto"/>
                                            <w:bottom w:val="none" w:sz="0" w:space="0" w:color="auto"/>
                                            <w:right w:val="none" w:sz="0" w:space="0" w:color="auto"/>
                                          </w:divBdr>
                                          <w:divsChild>
                                            <w:div w:id="298608687">
                                              <w:marLeft w:val="0"/>
                                              <w:marRight w:val="0"/>
                                              <w:marTop w:val="0"/>
                                              <w:marBottom w:val="0"/>
                                              <w:divBdr>
                                                <w:top w:val="none" w:sz="0" w:space="0" w:color="auto"/>
                                                <w:left w:val="none" w:sz="0" w:space="0" w:color="auto"/>
                                                <w:bottom w:val="none" w:sz="0" w:space="0" w:color="auto"/>
                                                <w:right w:val="none" w:sz="0" w:space="0" w:color="auto"/>
                                              </w:divBdr>
                                              <w:divsChild>
                                                <w:div w:id="298608686">
                                                  <w:marLeft w:val="45"/>
                                                  <w:marRight w:val="75"/>
                                                  <w:marTop w:val="0"/>
                                                  <w:marBottom w:val="0"/>
                                                  <w:divBdr>
                                                    <w:top w:val="none" w:sz="0" w:space="0" w:color="auto"/>
                                                    <w:left w:val="none" w:sz="0" w:space="0" w:color="auto"/>
                                                    <w:bottom w:val="none" w:sz="0" w:space="0" w:color="auto"/>
                                                    <w:right w:val="none" w:sz="0" w:space="0" w:color="auto"/>
                                                  </w:divBdr>
                                                  <w:divsChild>
                                                    <w:div w:id="298608688">
                                                      <w:marLeft w:val="0"/>
                                                      <w:marRight w:val="0"/>
                                                      <w:marTop w:val="0"/>
                                                      <w:marBottom w:val="0"/>
                                                      <w:divBdr>
                                                        <w:top w:val="none" w:sz="0" w:space="0" w:color="auto"/>
                                                        <w:left w:val="none" w:sz="0" w:space="0" w:color="auto"/>
                                                        <w:bottom w:val="none" w:sz="0" w:space="0" w:color="auto"/>
                                                        <w:right w:val="none" w:sz="0" w:space="0" w:color="auto"/>
                                                      </w:divBdr>
                                                      <w:divsChild>
                                                        <w:div w:id="298608717">
                                                          <w:marLeft w:val="0"/>
                                                          <w:marRight w:val="-24000"/>
                                                          <w:marTop w:val="0"/>
                                                          <w:marBottom w:val="0"/>
                                                          <w:divBdr>
                                                            <w:top w:val="none" w:sz="0" w:space="0" w:color="auto"/>
                                                            <w:left w:val="none" w:sz="0" w:space="0" w:color="auto"/>
                                                            <w:bottom w:val="none" w:sz="0" w:space="0" w:color="auto"/>
                                                            <w:right w:val="none" w:sz="0" w:space="0" w:color="auto"/>
                                                          </w:divBdr>
                                                          <w:divsChild>
                                                            <w:div w:id="298608743">
                                                              <w:marLeft w:val="0"/>
                                                              <w:marRight w:val="0"/>
                                                              <w:marTop w:val="0"/>
                                                              <w:marBottom w:val="0"/>
                                                              <w:divBdr>
                                                                <w:top w:val="none" w:sz="0" w:space="0" w:color="auto"/>
                                                                <w:left w:val="none" w:sz="0" w:space="0" w:color="auto"/>
                                                                <w:bottom w:val="none" w:sz="0" w:space="0" w:color="auto"/>
                                                                <w:right w:val="none" w:sz="0" w:space="0" w:color="auto"/>
                                                              </w:divBdr>
                                                              <w:divsChild>
                                                                <w:div w:id="298608883">
                                                                  <w:marLeft w:val="0"/>
                                                                  <w:marRight w:val="0"/>
                                                                  <w:marTop w:val="0"/>
                                                                  <w:marBottom w:val="0"/>
                                                                  <w:divBdr>
                                                                    <w:top w:val="none" w:sz="0" w:space="0" w:color="auto"/>
                                                                    <w:left w:val="none" w:sz="0" w:space="0" w:color="auto"/>
                                                                    <w:bottom w:val="none" w:sz="0" w:space="0" w:color="auto"/>
                                                                    <w:right w:val="none" w:sz="0" w:space="0" w:color="auto"/>
                                                                  </w:divBdr>
                                                                  <w:divsChild>
                                                                    <w:div w:id="29860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98608756">
      <w:marLeft w:val="0"/>
      <w:marRight w:val="0"/>
      <w:marTop w:val="0"/>
      <w:marBottom w:val="0"/>
      <w:divBdr>
        <w:top w:val="none" w:sz="0" w:space="0" w:color="auto"/>
        <w:left w:val="none" w:sz="0" w:space="0" w:color="auto"/>
        <w:bottom w:val="none" w:sz="0" w:space="0" w:color="auto"/>
        <w:right w:val="none" w:sz="0" w:space="0" w:color="auto"/>
      </w:divBdr>
      <w:divsChild>
        <w:div w:id="298608881">
          <w:marLeft w:val="0"/>
          <w:marRight w:val="0"/>
          <w:marTop w:val="0"/>
          <w:marBottom w:val="0"/>
          <w:divBdr>
            <w:top w:val="none" w:sz="0" w:space="0" w:color="auto"/>
            <w:left w:val="none" w:sz="0" w:space="0" w:color="auto"/>
            <w:bottom w:val="none" w:sz="0" w:space="0" w:color="auto"/>
            <w:right w:val="none" w:sz="0" w:space="0" w:color="auto"/>
          </w:divBdr>
          <w:divsChild>
            <w:div w:id="298608736">
              <w:marLeft w:val="0"/>
              <w:marRight w:val="0"/>
              <w:marTop w:val="0"/>
              <w:marBottom w:val="0"/>
              <w:divBdr>
                <w:top w:val="none" w:sz="0" w:space="0" w:color="auto"/>
                <w:left w:val="none" w:sz="0" w:space="0" w:color="auto"/>
                <w:bottom w:val="none" w:sz="0" w:space="0" w:color="auto"/>
                <w:right w:val="none" w:sz="0" w:space="0" w:color="auto"/>
              </w:divBdr>
              <w:divsChild>
                <w:div w:id="298608706">
                  <w:marLeft w:val="0"/>
                  <w:marRight w:val="0"/>
                  <w:marTop w:val="0"/>
                  <w:marBottom w:val="0"/>
                  <w:divBdr>
                    <w:top w:val="none" w:sz="0" w:space="0" w:color="auto"/>
                    <w:left w:val="none" w:sz="0" w:space="0" w:color="auto"/>
                    <w:bottom w:val="none" w:sz="0" w:space="0" w:color="auto"/>
                    <w:right w:val="none" w:sz="0" w:space="0" w:color="auto"/>
                  </w:divBdr>
                  <w:divsChild>
                    <w:div w:id="298608906">
                      <w:marLeft w:val="0"/>
                      <w:marRight w:val="0"/>
                      <w:marTop w:val="0"/>
                      <w:marBottom w:val="0"/>
                      <w:divBdr>
                        <w:top w:val="single" w:sz="24" w:space="0" w:color="E8E8E8"/>
                        <w:left w:val="none" w:sz="0" w:space="0" w:color="auto"/>
                        <w:bottom w:val="none" w:sz="0" w:space="0" w:color="auto"/>
                        <w:right w:val="none" w:sz="0" w:space="0" w:color="auto"/>
                      </w:divBdr>
                      <w:divsChild>
                        <w:div w:id="298608684">
                          <w:marLeft w:val="0"/>
                          <w:marRight w:val="5415"/>
                          <w:marTop w:val="0"/>
                          <w:marBottom w:val="0"/>
                          <w:divBdr>
                            <w:top w:val="none" w:sz="0" w:space="0" w:color="auto"/>
                            <w:left w:val="none" w:sz="0" w:space="0" w:color="auto"/>
                            <w:bottom w:val="none" w:sz="0" w:space="0" w:color="auto"/>
                            <w:right w:val="none" w:sz="0" w:space="0" w:color="auto"/>
                          </w:divBdr>
                          <w:divsChild>
                            <w:div w:id="298608710">
                              <w:marLeft w:val="0"/>
                              <w:marRight w:val="0"/>
                              <w:marTop w:val="0"/>
                              <w:marBottom w:val="0"/>
                              <w:divBdr>
                                <w:top w:val="single" w:sz="6" w:space="0" w:color="9B9B9B"/>
                                <w:left w:val="none" w:sz="0" w:space="0" w:color="auto"/>
                                <w:bottom w:val="none" w:sz="0" w:space="0" w:color="auto"/>
                                <w:right w:val="none" w:sz="0" w:space="0" w:color="auto"/>
                              </w:divBdr>
                              <w:divsChild>
                                <w:div w:id="298608889">
                                  <w:marLeft w:val="0"/>
                                  <w:marRight w:val="0"/>
                                  <w:marTop w:val="0"/>
                                  <w:marBottom w:val="0"/>
                                  <w:divBdr>
                                    <w:top w:val="single" w:sz="6" w:space="0" w:color="FFFFFF"/>
                                    <w:left w:val="none" w:sz="0" w:space="0" w:color="auto"/>
                                    <w:bottom w:val="none" w:sz="0" w:space="0" w:color="auto"/>
                                    <w:right w:val="none" w:sz="0" w:space="0" w:color="auto"/>
                                  </w:divBdr>
                                  <w:divsChild>
                                    <w:div w:id="298608777">
                                      <w:marLeft w:val="0"/>
                                      <w:marRight w:val="0"/>
                                      <w:marTop w:val="0"/>
                                      <w:marBottom w:val="0"/>
                                      <w:divBdr>
                                        <w:top w:val="none" w:sz="0" w:space="0" w:color="auto"/>
                                        <w:left w:val="none" w:sz="0" w:space="0" w:color="auto"/>
                                        <w:bottom w:val="none" w:sz="0" w:space="0" w:color="auto"/>
                                        <w:right w:val="none" w:sz="0" w:space="0" w:color="auto"/>
                                      </w:divBdr>
                                      <w:divsChild>
                                        <w:div w:id="298608735">
                                          <w:marLeft w:val="0"/>
                                          <w:marRight w:val="0"/>
                                          <w:marTop w:val="0"/>
                                          <w:marBottom w:val="0"/>
                                          <w:divBdr>
                                            <w:top w:val="none" w:sz="0" w:space="0" w:color="auto"/>
                                            <w:left w:val="none" w:sz="0" w:space="0" w:color="auto"/>
                                            <w:bottom w:val="none" w:sz="0" w:space="0" w:color="auto"/>
                                            <w:right w:val="none" w:sz="0" w:space="0" w:color="auto"/>
                                          </w:divBdr>
                                          <w:divsChild>
                                            <w:div w:id="298608733">
                                              <w:marLeft w:val="0"/>
                                              <w:marRight w:val="0"/>
                                              <w:marTop w:val="0"/>
                                              <w:marBottom w:val="0"/>
                                              <w:divBdr>
                                                <w:top w:val="none" w:sz="0" w:space="0" w:color="auto"/>
                                                <w:left w:val="none" w:sz="0" w:space="0" w:color="auto"/>
                                                <w:bottom w:val="none" w:sz="0" w:space="0" w:color="auto"/>
                                                <w:right w:val="none" w:sz="0" w:space="0" w:color="auto"/>
                                              </w:divBdr>
                                              <w:divsChild>
                                                <w:div w:id="298608752">
                                                  <w:marLeft w:val="45"/>
                                                  <w:marRight w:val="75"/>
                                                  <w:marTop w:val="0"/>
                                                  <w:marBottom w:val="0"/>
                                                  <w:divBdr>
                                                    <w:top w:val="none" w:sz="0" w:space="0" w:color="auto"/>
                                                    <w:left w:val="none" w:sz="0" w:space="0" w:color="auto"/>
                                                    <w:bottom w:val="none" w:sz="0" w:space="0" w:color="auto"/>
                                                    <w:right w:val="none" w:sz="0" w:space="0" w:color="auto"/>
                                                  </w:divBdr>
                                                  <w:divsChild>
                                                    <w:div w:id="298608891">
                                                      <w:marLeft w:val="0"/>
                                                      <w:marRight w:val="0"/>
                                                      <w:marTop w:val="0"/>
                                                      <w:marBottom w:val="0"/>
                                                      <w:divBdr>
                                                        <w:top w:val="none" w:sz="0" w:space="0" w:color="auto"/>
                                                        <w:left w:val="none" w:sz="0" w:space="0" w:color="auto"/>
                                                        <w:bottom w:val="none" w:sz="0" w:space="0" w:color="auto"/>
                                                        <w:right w:val="none" w:sz="0" w:space="0" w:color="auto"/>
                                                      </w:divBdr>
                                                      <w:divsChild>
                                                        <w:div w:id="298608890">
                                                          <w:marLeft w:val="0"/>
                                                          <w:marRight w:val="-240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98608764">
      <w:marLeft w:val="0"/>
      <w:marRight w:val="0"/>
      <w:marTop w:val="0"/>
      <w:marBottom w:val="0"/>
      <w:divBdr>
        <w:top w:val="none" w:sz="0" w:space="0" w:color="auto"/>
        <w:left w:val="none" w:sz="0" w:space="0" w:color="auto"/>
        <w:bottom w:val="none" w:sz="0" w:space="0" w:color="auto"/>
        <w:right w:val="none" w:sz="0" w:space="0" w:color="auto"/>
      </w:divBdr>
      <w:divsChild>
        <w:div w:id="298608753">
          <w:marLeft w:val="0"/>
          <w:marRight w:val="0"/>
          <w:marTop w:val="0"/>
          <w:marBottom w:val="0"/>
          <w:divBdr>
            <w:top w:val="none" w:sz="0" w:space="0" w:color="auto"/>
            <w:left w:val="none" w:sz="0" w:space="0" w:color="auto"/>
            <w:bottom w:val="none" w:sz="0" w:space="0" w:color="auto"/>
            <w:right w:val="none" w:sz="0" w:space="0" w:color="auto"/>
          </w:divBdr>
          <w:divsChild>
            <w:div w:id="298608737">
              <w:marLeft w:val="0"/>
              <w:marRight w:val="0"/>
              <w:marTop w:val="0"/>
              <w:marBottom w:val="0"/>
              <w:divBdr>
                <w:top w:val="none" w:sz="0" w:space="0" w:color="auto"/>
                <w:left w:val="none" w:sz="0" w:space="0" w:color="auto"/>
                <w:bottom w:val="none" w:sz="0" w:space="0" w:color="auto"/>
                <w:right w:val="none" w:sz="0" w:space="0" w:color="auto"/>
              </w:divBdr>
              <w:divsChild>
                <w:div w:id="298608716">
                  <w:marLeft w:val="0"/>
                  <w:marRight w:val="0"/>
                  <w:marTop w:val="0"/>
                  <w:marBottom w:val="0"/>
                  <w:divBdr>
                    <w:top w:val="none" w:sz="0" w:space="0" w:color="auto"/>
                    <w:left w:val="none" w:sz="0" w:space="0" w:color="auto"/>
                    <w:bottom w:val="none" w:sz="0" w:space="0" w:color="auto"/>
                    <w:right w:val="none" w:sz="0" w:space="0" w:color="auto"/>
                  </w:divBdr>
                  <w:divsChild>
                    <w:div w:id="298608908">
                      <w:marLeft w:val="0"/>
                      <w:marRight w:val="0"/>
                      <w:marTop w:val="0"/>
                      <w:marBottom w:val="0"/>
                      <w:divBdr>
                        <w:top w:val="single" w:sz="24" w:space="0" w:color="E8E8E8"/>
                        <w:left w:val="none" w:sz="0" w:space="0" w:color="auto"/>
                        <w:bottom w:val="none" w:sz="0" w:space="0" w:color="auto"/>
                        <w:right w:val="none" w:sz="0" w:space="0" w:color="auto"/>
                      </w:divBdr>
                      <w:divsChild>
                        <w:div w:id="298608738">
                          <w:marLeft w:val="0"/>
                          <w:marRight w:val="5415"/>
                          <w:marTop w:val="0"/>
                          <w:marBottom w:val="0"/>
                          <w:divBdr>
                            <w:top w:val="none" w:sz="0" w:space="0" w:color="auto"/>
                            <w:left w:val="none" w:sz="0" w:space="0" w:color="auto"/>
                            <w:bottom w:val="none" w:sz="0" w:space="0" w:color="auto"/>
                            <w:right w:val="none" w:sz="0" w:space="0" w:color="auto"/>
                          </w:divBdr>
                          <w:divsChild>
                            <w:div w:id="298608701">
                              <w:marLeft w:val="0"/>
                              <w:marRight w:val="0"/>
                              <w:marTop w:val="0"/>
                              <w:marBottom w:val="0"/>
                              <w:divBdr>
                                <w:top w:val="single" w:sz="6" w:space="0" w:color="9B9B9B"/>
                                <w:left w:val="none" w:sz="0" w:space="0" w:color="auto"/>
                                <w:bottom w:val="none" w:sz="0" w:space="0" w:color="auto"/>
                                <w:right w:val="none" w:sz="0" w:space="0" w:color="auto"/>
                              </w:divBdr>
                              <w:divsChild>
                                <w:div w:id="298608907">
                                  <w:marLeft w:val="0"/>
                                  <w:marRight w:val="0"/>
                                  <w:marTop w:val="0"/>
                                  <w:marBottom w:val="0"/>
                                  <w:divBdr>
                                    <w:top w:val="single" w:sz="6" w:space="0" w:color="FFFFFF"/>
                                    <w:left w:val="none" w:sz="0" w:space="0" w:color="auto"/>
                                    <w:bottom w:val="none" w:sz="0" w:space="0" w:color="auto"/>
                                    <w:right w:val="none" w:sz="0" w:space="0" w:color="auto"/>
                                  </w:divBdr>
                                  <w:divsChild>
                                    <w:div w:id="298608785">
                                      <w:marLeft w:val="0"/>
                                      <w:marRight w:val="0"/>
                                      <w:marTop w:val="0"/>
                                      <w:marBottom w:val="0"/>
                                      <w:divBdr>
                                        <w:top w:val="none" w:sz="0" w:space="0" w:color="auto"/>
                                        <w:left w:val="none" w:sz="0" w:space="0" w:color="auto"/>
                                        <w:bottom w:val="none" w:sz="0" w:space="0" w:color="auto"/>
                                        <w:right w:val="none" w:sz="0" w:space="0" w:color="auto"/>
                                      </w:divBdr>
                                      <w:divsChild>
                                        <w:div w:id="298608882">
                                          <w:marLeft w:val="0"/>
                                          <w:marRight w:val="0"/>
                                          <w:marTop w:val="0"/>
                                          <w:marBottom w:val="0"/>
                                          <w:divBdr>
                                            <w:top w:val="none" w:sz="0" w:space="0" w:color="auto"/>
                                            <w:left w:val="none" w:sz="0" w:space="0" w:color="auto"/>
                                            <w:bottom w:val="none" w:sz="0" w:space="0" w:color="auto"/>
                                            <w:right w:val="none" w:sz="0" w:space="0" w:color="auto"/>
                                          </w:divBdr>
                                          <w:divsChild>
                                            <w:div w:id="298608741">
                                              <w:marLeft w:val="0"/>
                                              <w:marRight w:val="0"/>
                                              <w:marTop w:val="0"/>
                                              <w:marBottom w:val="0"/>
                                              <w:divBdr>
                                                <w:top w:val="none" w:sz="0" w:space="0" w:color="auto"/>
                                                <w:left w:val="none" w:sz="0" w:space="0" w:color="auto"/>
                                                <w:bottom w:val="none" w:sz="0" w:space="0" w:color="auto"/>
                                                <w:right w:val="none" w:sz="0" w:space="0" w:color="auto"/>
                                              </w:divBdr>
                                              <w:divsChild>
                                                <w:div w:id="298608693">
                                                  <w:marLeft w:val="45"/>
                                                  <w:marRight w:val="75"/>
                                                  <w:marTop w:val="0"/>
                                                  <w:marBottom w:val="0"/>
                                                  <w:divBdr>
                                                    <w:top w:val="none" w:sz="0" w:space="0" w:color="auto"/>
                                                    <w:left w:val="none" w:sz="0" w:space="0" w:color="auto"/>
                                                    <w:bottom w:val="none" w:sz="0" w:space="0" w:color="auto"/>
                                                    <w:right w:val="none" w:sz="0" w:space="0" w:color="auto"/>
                                                  </w:divBdr>
                                                  <w:divsChild>
                                                    <w:div w:id="298608699">
                                                      <w:marLeft w:val="0"/>
                                                      <w:marRight w:val="0"/>
                                                      <w:marTop w:val="0"/>
                                                      <w:marBottom w:val="0"/>
                                                      <w:divBdr>
                                                        <w:top w:val="none" w:sz="0" w:space="0" w:color="auto"/>
                                                        <w:left w:val="none" w:sz="0" w:space="0" w:color="auto"/>
                                                        <w:bottom w:val="none" w:sz="0" w:space="0" w:color="auto"/>
                                                        <w:right w:val="none" w:sz="0" w:space="0" w:color="auto"/>
                                                      </w:divBdr>
                                                      <w:divsChild>
                                                        <w:div w:id="298608744">
                                                          <w:marLeft w:val="0"/>
                                                          <w:marRight w:val="-240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98608770">
      <w:marLeft w:val="0"/>
      <w:marRight w:val="0"/>
      <w:marTop w:val="0"/>
      <w:marBottom w:val="0"/>
      <w:divBdr>
        <w:top w:val="none" w:sz="0" w:space="0" w:color="auto"/>
        <w:left w:val="none" w:sz="0" w:space="0" w:color="auto"/>
        <w:bottom w:val="none" w:sz="0" w:space="0" w:color="auto"/>
        <w:right w:val="none" w:sz="0" w:space="0" w:color="auto"/>
      </w:divBdr>
      <w:divsChild>
        <w:div w:id="298608884">
          <w:marLeft w:val="0"/>
          <w:marRight w:val="0"/>
          <w:marTop w:val="0"/>
          <w:marBottom w:val="0"/>
          <w:divBdr>
            <w:top w:val="none" w:sz="0" w:space="0" w:color="auto"/>
            <w:left w:val="none" w:sz="0" w:space="0" w:color="auto"/>
            <w:bottom w:val="none" w:sz="0" w:space="0" w:color="auto"/>
            <w:right w:val="none" w:sz="0" w:space="0" w:color="auto"/>
          </w:divBdr>
          <w:divsChild>
            <w:div w:id="298608690">
              <w:marLeft w:val="0"/>
              <w:marRight w:val="0"/>
              <w:marTop w:val="0"/>
              <w:marBottom w:val="0"/>
              <w:divBdr>
                <w:top w:val="none" w:sz="0" w:space="0" w:color="auto"/>
                <w:left w:val="none" w:sz="0" w:space="0" w:color="auto"/>
                <w:bottom w:val="none" w:sz="0" w:space="0" w:color="auto"/>
                <w:right w:val="none" w:sz="0" w:space="0" w:color="auto"/>
              </w:divBdr>
              <w:divsChild>
                <w:div w:id="298608734">
                  <w:marLeft w:val="0"/>
                  <w:marRight w:val="0"/>
                  <w:marTop w:val="0"/>
                  <w:marBottom w:val="0"/>
                  <w:divBdr>
                    <w:top w:val="none" w:sz="0" w:space="0" w:color="auto"/>
                    <w:left w:val="none" w:sz="0" w:space="0" w:color="auto"/>
                    <w:bottom w:val="none" w:sz="0" w:space="0" w:color="auto"/>
                    <w:right w:val="none" w:sz="0" w:space="0" w:color="auto"/>
                  </w:divBdr>
                  <w:divsChild>
                    <w:div w:id="298608754">
                      <w:marLeft w:val="0"/>
                      <w:marRight w:val="0"/>
                      <w:marTop w:val="0"/>
                      <w:marBottom w:val="0"/>
                      <w:divBdr>
                        <w:top w:val="single" w:sz="24" w:space="0" w:color="E8E8E8"/>
                        <w:left w:val="none" w:sz="0" w:space="0" w:color="auto"/>
                        <w:bottom w:val="none" w:sz="0" w:space="0" w:color="auto"/>
                        <w:right w:val="none" w:sz="0" w:space="0" w:color="auto"/>
                      </w:divBdr>
                      <w:divsChild>
                        <w:div w:id="298608724">
                          <w:marLeft w:val="0"/>
                          <w:marRight w:val="5415"/>
                          <w:marTop w:val="0"/>
                          <w:marBottom w:val="0"/>
                          <w:divBdr>
                            <w:top w:val="none" w:sz="0" w:space="0" w:color="auto"/>
                            <w:left w:val="none" w:sz="0" w:space="0" w:color="auto"/>
                            <w:bottom w:val="none" w:sz="0" w:space="0" w:color="auto"/>
                            <w:right w:val="none" w:sz="0" w:space="0" w:color="auto"/>
                          </w:divBdr>
                          <w:divsChild>
                            <w:div w:id="298608765">
                              <w:marLeft w:val="0"/>
                              <w:marRight w:val="0"/>
                              <w:marTop w:val="0"/>
                              <w:marBottom w:val="0"/>
                              <w:divBdr>
                                <w:top w:val="single" w:sz="6" w:space="0" w:color="9B9B9B"/>
                                <w:left w:val="none" w:sz="0" w:space="0" w:color="auto"/>
                                <w:bottom w:val="none" w:sz="0" w:space="0" w:color="auto"/>
                                <w:right w:val="none" w:sz="0" w:space="0" w:color="auto"/>
                              </w:divBdr>
                              <w:divsChild>
                                <w:div w:id="298608902">
                                  <w:marLeft w:val="0"/>
                                  <w:marRight w:val="0"/>
                                  <w:marTop w:val="0"/>
                                  <w:marBottom w:val="0"/>
                                  <w:divBdr>
                                    <w:top w:val="single" w:sz="6" w:space="0" w:color="FFFFFF"/>
                                    <w:left w:val="none" w:sz="0" w:space="0" w:color="auto"/>
                                    <w:bottom w:val="none" w:sz="0" w:space="0" w:color="auto"/>
                                    <w:right w:val="none" w:sz="0" w:space="0" w:color="auto"/>
                                  </w:divBdr>
                                  <w:divsChild>
                                    <w:div w:id="298608696">
                                      <w:marLeft w:val="0"/>
                                      <w:marRight w:val="0"/>
                                      <w:marTop w:val="0"/>
                                      <w:marBottom w:val="0"/>
                                      <w:divBdr>
                                        <w:top w:val="none" w:sz="0" w:space="0" w:color="auto"/>
                                        <w:left w:val="none" w:sz="0" w:space="0" w:color="auto"/>
                                        <w:bottom w:val="none" w:sz="0" w:space="0" w:color="auto"/>
                                        <w:right w:val="none" w:sz="0" w:space="0" w:color="auto"/>
                                      </w:divBdr>
                                      <w:divsChild>
                                        <w:div w:id="298608877">
                                          <w:marLeft w:val="0"/>
                                          <w:marRight w:val="0"/>
                                          <w:marTop w:val="0"/>
                                          <w:marBottom w:val="0"/>
                                          <w:divBdr>
                                            <w:top w:val="none" w:sz="0" w:space="0" w:color="auto"/>
                                            <w:left w:val="none" w:sz="0" w:space="0" w:color="auto"/>
                                            <w:bottom w:val="none" w:sz="0" w:space="0" w:color="auto"/>
                                            <w:right w:val="none" w:sz="0" w:space="0" w:color="auto"/>
                                          </w:divBdr>
                                          <w:divsChild>
                                            <w:div w:id="298608757">
                                              <w:marLeft w:val="0"/>
                                              <w:marRight w:val="0"/>
                                              <w:marTop w:val="0"/>
                                              <w:marBottom w:val="0"/>
                                              <w:divBdr>
                                                <w:top w:val="none" w:sz="0" w:space="0" w:color="auto"/>
                                                <w:left w:val="none" w:sz="0" w:space="0" w:color="auto"/>
                                                <w:bottom w:val="none" w:sz="0" w:space="0" w:color="auto"/>
                                                <w:right w:val="none" w:sz="0" w:space="0" w:color="auto"/>
                                              </w:divBdr>
                                              <w:divsChild>
                                                <w:div w:id="298608786">
                                                  <w:marLeft w:val="45"/>
                                                  <w:marRight w:val="75"/>
                                                  <w:marTop w:val="0"/>
                                                  <w:marBottom w:val="0"/>
                                                  <w:divBdr>
                                                    <w:top w:val="none" w:sz="0" w:space="0" w:color="auto"/>
                                                    <w:left w:val="none" w:sz="0" w:space="0" w:color="auto"/>
                                                    <w:bottom w:val="none" w:sz="0" w:space="0" w:color="auto"/>
                                                    <w:right w:val="none" w:sz="0" w:space="0" w:color="auto"/>
                                                  </w:divBdr>
                                                  <w:divsChild>
                                                    <w:div w:id="298608784">
                                                      <w:marLeft w:val="0"/>
                                                      <w:marRight w:val="0"/>
                                                      <w:marTop w:val="0"/>
                                                      <w:marBottom w:val="0"/>
                                                      <w:divBdr>
                                                        <w:top w:val="none" w:sz="0" w:space="0" w:color="auto"/>
                                                        <w:left w:val="none" w:sz="0" w:space="0" w:color="auto"/>
                                                        <w:bottom w:val="none" w:sz="0" w:space="0" w:color="auto"/>
                                                        <w:right w:val="none" w:sz="0" w:space="0" w:color="auto"/>
                                                      </w:divBdr>
                                                      <w:divsChild>
                                                        <w:div w:id="298608779">
                                                          <w:marLeft w:val="0"/>
                                                          <w:marRight w:val="-24000"/>
                                                          <w:marTop w:val="0"/>
                                                          <w:marBottom w:val="0"/>
                                                          <w:divBdr>
                                                            <w:top w:val="none" w:sz="0" w:space="0" w:color="auto"/>
                                                            <w:left w:val="none" w:sz="0" w:space="0" w:color="auto"/>
                                                            <w:bottom w:val="none" w:sz="0" w:space="0" w:color="auto"/>
                                                            <w:right w:val="none" w:sz="0" w:space="0" w:color="auto"/>
                                                          </w:divBdr>
                                                          <w:divsChild>
                                                            <w:div w:id="29860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98608771">
      <w:marLeft w:val="0"/>
      <w:marRight w:val="0"/>
      <w:marTop w:val="0"/>
      <w:marBottom w:val="0"/>
      <w:divBdr>
        <w:top w:val="none" w:sz="0" w:space="0" w:color="auto"/>
        <w:left w:val="none" w:sz="0" w:space="0" w:color="auto"/>
        <w:bottom w:val="none" w:sz="0" w:space="0" w:color="auto"/>
        <w:right w:val="none" w:sz="0" w:space="0" w:color="auto"/>
      </w:divBdr>
      <w:divsChild>
        <w:div w:id="298608910">
          <w:marLeft w:val="0"/>
          <w:marRight w:val="0"/>
          <w:marTop w:val="0"/>
          <w:marBottom w:val="0"/>
          <w:divBdr>
            <w:top w:val="none" w:sz="0" w:space="0" w:color="auto"/>
            <w:left w:val="none" w:sz="0" w:space="0" w:color="auto"/>
            <w:bottom w:val="none" w:sz="0" w:space="0" w:color="auto"/>
            <w:right w:val="none" w:sz="0" w:space="0" w:color="auto"/>
          </w:divBdr>
          <w:divsChild>
            <w:div w:id="298608879">
              <w:marLeft w:val="0"/>
              <w:marRight w:val="0"/>
              <w:marTop w:val="0"/>
              <w:marBottom w:val="0"/>
              <w:divBdr>
                <w:top w:val="none" w:sz="0" w:space="0" w:color="auto"/>
                <w:left w:val="none" w:sz="0" w:space="0" w:color="auto"/>
                <w:bottom w:val="none" w:sz="0" w:space="0" w:color="auto"/>
                <w:right w:val="none" w:sz="0" w:space="0" w:color="auto"/>
              </w:divBdr>
              <w:divsChild>
                <w:div w:id="298608773">
                  <w:marLeft w:val="0"/>
                  <w:marRight w:val="0"/>
                  <w:marTop w:val="0"/>
                  <w:marBottom w:val="0"/>
                  <w:divBdr>
                    <w:top w:val="none" w:sz="0" w:space="0" w:color="auto"/>
                    <w:left w:val="none" w:sz="0" w:space="0" w:color="auto"/>
                    <w:bottom w:val="none" w:sz="0" w:space="0" w:color="auto"/>
                    <w:right w:val="none" w:sz="0" w:space="0" w:color="auto"/>
                  </w:divBdr>
                  <w:divsChild>
                    <w:div w:id="298608732">
                      <w:marLeft w:val="0"/>
                      <w:marRight w:val="0"/>
                      <w:marTop w:val="0"/>
                      <w:marBottom w:val="0"/>
                      <w:divBdr>
                        <w:top w:val="single" w:sz="24" w:space="0" w:color="E8E8E8"/>
                        <w:left w:val="none" w:sz="0" w:space="0" w:color="auto"/>
                        <w:bottom w:val="none" w:sz="0" w:space="0" w:color="auto"/>
                        <w:right w:val="none" w:sz="0" w:space="0" w:color="auto"/>
                      </w:divBdr>
                      <w:divsChild>
                        <w:div w:id="298608896">
                          <w:marLeft w:val="0"/>
                          <w:marRight w:val="5415"/>
                          <w:marTop w:val="0"/>
                          <w:marBottom w:val="0"/>
                          <w:divBdr>
                            <w:top w:val="none" w:sz="0" w:space="0" w:color="auto"/>
                            <w:left w:val="none" w:sz="0" w:space="0" w:color="auto"/>
                            <w:bottom w:val="none" w:sz="0" w:space="0" w:color="auto"/>
                            <w:right w:val="none" w:sz="0" w:space="0" w:color="auto"/>
                          </w:divBdr>
                          <w:divsChild>
                            <w:div w:id="298608895">
                              <w:marLeft w:val="0"/>
                              <w:marRight w:val="0"/>
                              <w:marTop w:val="0"/>
                              <w:marBottom w:val="0"/>
                              <w:divBdr>
                                <w:top w:val="single" w:sz="6" w:space="0" w:color="9B9B9B"/>
                                <w:left w:val="none" w:sz="0" w:space="0" w:color="auto"/>
                                <w:bottom w:val="none" w:sz="0" w:space="0" w:color="auto"/>
                                <w:right w:val="none" w:sz="0" w:space="0" w:color="auto"/>
                              </w:divBdr>
                              <w:divsChild>
                                <w:div w:id="298608685">
                                  <w:marLeft w:val="0"/>
                                  <w:marRight w:val="0"/>
                                  <w:marTop w:val="0"/>
                                  <w:marBottom w:val="0"/>
                                  <w:divBdr>
                                    <w:top w:val="single" w:sz="6" w:space="0" w:color="FFFFFF"/>
                                    <w:left w:val="none" w:sz="0" w:space="0" w:color="auto"/>
                                    <w:bottom w:val="none" w:sz="0" w:space="0" w:color="auto"/>
                                    <w:right w:val="none" w:sz="0" w:space="0" w:color="auto"/>
                                  </w:divBdr>
                                  <w:divsChild>
                                    <w:div w:id="298608887">
                                      <w:marLeft w:val="0"/>
                                      <w:marRight w:val="0"/>
                                      <w:marTop w:val="0"/>
                                      <w:marBottom w:val="0"/>
                                      <w:divBdr>
                                        <w:top w:val="none" w:sz="0" w:space="0" w:color="auto"/>
                                        <w:left w:val="none" w:sz="0" w:space="0" w:color="auto"/>
                                        <w:bottom w:val="none" w:sz="0" w:space="0" w:color="auto"/>
                                        <w:right w:val="none" w:sz="0" w:space="0" w:color="auto"/>
                                      </w:divBdr>
                                      <w:divsChild>
                                        <w:div w:id="298608747">
                                          <w:marLeft w:val="0"/>
                                          <w:marRight w:val="0"/>
                                          <w:marTop w:val="0"/>
                                          <w:marBottom w:val="0"/>
                                          <w:divBdr>
                                            <w:top w:val="none" w:sz="0" w:space="0" w:color="auto"/>
                                            <w:left w:val="none" w:sz="0" w:space="0" w:color="auto"/>
                                            <w:bottom w:val="none" w:sz="0" w:space="0" w:color="auto"/>
                                            <w:right w:val="none" w:sz="0" w:space="0" w:color="auto"/>
                                          </w:divBdr>
                                          <w:divsChild>
                                            <w:div w:id="298608698">
                                              <w:marLeft w:val="0"/>
                                              <w:marRight w:val="0"/>
                                              <w:marTop w:val="0"/>
                                              <w:marBottom w:val="0"/>
                                              <w:divBdr>
                                                <w:top w:val="none" w:sz="0" w:space="0" w:color="auto"/>
                                                <w:left w:val="none" w:sz="0" w:space="0" w:color="auto"/>
                                                <w:bottom w:val="none" w:sz="0" w:space="0" w:color="auto"/>
                                                <w:right w:val="none" w:sz="0" w:space="0" w:color="auto"/>
                                              </w:divBdr>
                                              <w:divsChild>
                                                <w:div w:id="298608790">
                                                  <w:marLeft w:val="45"/>
                                                  <w:marRight w:val="75"/>
                                                  <w:marTop w:val="0"/>
                                                  <w:marBottom w:val="0"/>
                                                  <w:divBdr>
                                                    <w:top w:val="none" w:sz="0" w:space="0" w:color="auto"/>
                                                    <w:left w:val="none" w:sz="0" w:space="0" w:color="auto"/>
                                                    <w:bottom w:val="none" w:sz="0" w:space="0" w:color="auto"/>
                                                    <w:right w:val="none" w:sz="0" w:space="0" w:color="auto"/>
                                                  </w:divBdr>
                                                  <w:divsChild>
                                                    <w:div w:id="298608768">
                                                      <w:marLeft w:val="0"/>
                                                      <w:marRight w:val="0"/>
                                                      <w:marTop w:val="0"/>
                                                      <w:marBottom w:val="0"/>
                                                      <w:divBdr>
                                                        <w:top w:val="none" w:sz="0" w:space="0" w:color="auto"/>
                                                        <w:left w:val="none" w:sz="0" w:space="0" w:color="auto"/>
                                                        <w:bottom w:val="none" w:sz="0" w:space="0" w:color="auto"/>
                                                        <w:right w:val="none" w:sz="0" w:space="0" w:color="auto"/>
                                                      </w:divBdr>
                                                      <w:divsChild>
                                                        <w:div w:id="298608873">
                                                          <w:marLeft w:val="0"/>
                                                          <w:marRight w:val="-240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98608775">
      <w:marLeft w:val="0"/>
      <w:marRight w:val="0"/>
      <w:marTop w:val="0"/>
      <w:marBottom w:val="0"/>
      <w:divBdr>
        <w:top w:val="none" w:sz="0" w:space="0" w:color="auto"/>
        <w:left w:val="none" w:sz="0" w:space="0" w:color="auto"/>
        <w:bottom w:val="none" w:sz="0" w:space="0" w:color="auto"/>
        <w:right w:val="none" w:sz="0" w:space="0" w:color="auto"/>
      </w:divBdr>
      <w:divsChild>
        <w:div w:id="298608875">
          <w:marLeft w:val="0"/>
          <w:marRight w:val="0"/>
          <w:marTop w:val="0"/>
          <w:marBottom w:val="0"/>
          <w:divBdr>
            <w:top w:val="none" w:sz="0" w:space="0" w:color="auto"/>
            <w:left w:val="none" w:sz="0" w:space="0" w:color="auto"/>
            <w:bottom w:val="none" w:sz="0" w:space="0" w:color="auto"/>
            <w:right w:val="none" w:sz="0" w:space="0" w:color="auto"/>
          </w:divBdr>
          <w:divsChild>
            <w:div w:id="298608791">
              <w:marLeft w:val="0"/>
              <w:marRight w:val="0"/>
              <w:marTop w:val="0"/>
              <w:marBottom w:val="0"/>
              <w:divBdr>
                <w:top w:val="none" w:sz="0" w:space="0" w:color="auto"/>
                <w:left w:val="none" w:sz="0" w:space="0" w:color="auto"/>
                <w:bottom w:val="none" w:sz="0" w:space="0" w:color="auto"/>
                <w:right w:val="none" w:sz="0" w:space="0" w:color="auto"/>
              </w:divBdr>
              <w:divsChild>
                <w:div w:id="298608772">
                  <w:marLeft w:val="0"/>
                  <w:marRight w:val="0"/>
                  <w:marTop w:val="0"/>
                  <w:marBottom w:val="0"/>
                  <w:divBdr>
                    <w:top w:val="none" w:sz="0" w:space="0" w:color="auto"/>
                    <w:left w:val="none" w:sz="0" w:space="0" w:color="auto"/>
                    <w:bottom w:val="none" w:sz="0" w:space="0" w:color="auto"/>
                    <w:right w:val="none" w:sz="0" w:space="0" w:color="auto"/>
                  </w:divBdr>
                  <w:divsChild>
                    <w:div w:id="298608730">
                      <w:marLeft w:val="0"/>
                      <w:marRight w:val="0"/>
                      <w:marTop w:val="0"/>
                      <w:marBottom w:val="0"/>
                      <w:divBdr>
                        <w:top w:val="single" w:sz="24" w:space="0" w:color="E8E8E8"/>
                        <w:left w:val="none" w:sz="0" w:space="0" w:color="auto"/>
                        <w:bottom w:val="none" w:sz="0" w:space="0" w:color="auto"/>
                        <w:right w:val="none" w:sz="0" w:space="0" w:color="auto"/>
                      </w:divBdr>
                      <w:divsChild>
                        <w:div w:id="298608702">
                          <w:marLeft w:val="0"/>
                          <w:marRight w:val="5415"/>
                          <w:marTop w:val="0"/>
                          <w:marBottom w:val="0"/>
                          <w:divBdr>
                            <w:top w:val="none" w:sz="0" w:space="0" w:color="auto"/>
                            <w:left w:val="none" w:sz="0" w:space="0" w:color="auto"/>
                            <w:bottom w:val="none" w:sz="0" w:space="0" w:color="auto"/>
                            <w:right w:val="none" w:sz="0" w:space="0" w:color="auto"/>
                          </w:divBdr>
                          <w:divsChild>
                            <w:div w:id="298608792">
                              <w:marLeft w:val="0"/>
                              <w:marRight w:val="0"/>
                              <w:marTop w:val="0"/>
                              <w:marBottom w:val="0"/>
                              <w:divBdr>
                                <w:top w:val="single" w:sz="6" w:space="0" w:color="9B9B9B"/>
                                <w:left w:val="none" w:sz="0" w:space="0" w:color="auto"/>
                                <w:bottom w:val="none" w:sz="0" w:space="0" w:color="auto"/>
                                <w:right w:val="none" w:sz="0" w:space="0" w:color="auto"/>
                              </w:divBdr>
                              <w:divsChild>
                                <w:div w:id="298608901">
                                  <w:marLeft w:val="0"/>
                                  <w:marRight w:val="0"/>
                                  <w:marTop w:val="0"/>
                                  <w:marBottom w:val="0"/>
                                  <w:divBdr>
                                    <w:top w:val="single" w:sz="6" w:space="0" w:color="FFFFFF"/>
                                    <w:left w:val="none" w:sz="0" w:space="0" w:color="auto"/>
                                    <w:bottom w:val="none" w:sz="0" w:space="0" w:color="auto"/>
                                    <w:right w:val="none" w:sz="0" w:space="0" w:color="auto"/>
                                  </w:divBdr>
                                  <w:divsChild>
                                    <w:div w:id="298608905">
                                      <w:marLeft w:val="0"/>
                                      <w:marRight w:val="0"/>
                                      <w:marTop w:val="0"/>
                                      <w:marBottom w:val="0"/>
                                      <w:divBdr>
                                        <w:top w:val="none" w:sz="0" w:space="0" w:color="auto"/>
                                        <w:left w:val="none" w:sz="0" w:space="0" w:color="auto"/>
                                        <w:bottom w:val="none" w:sz="0" w:space="0" w:color="auto"/>
                                        <w:right w:val="none" w:sz="0" w:space="0" w:color="auto"/>
                                      </w:divBdr>
                                      <w:divsChild>
                                        <w:div w:id="298608761">
                                          <w:marLeft w:val="0"/>
                                          <w:marRight w:val="0"/>
                                          <w:marTop w:val="0"/>
                                          <w:marBottom w:val="0"/>
                                          <w:divBdr>
                                            <w:top w:val="none" w:sz="0" w:space="0" w:color="auto"/>
                                            <w:left w:val="none" w:sz="0" w:space="0" w:color="auto"/>
                                            <w:bottom w:val="none" w:sz="0" w:space="0" w:color="auto"/>
                                            <w:right w:val="none" w:sz="0" w:space="0" w:color="auto"/>
                                          </w:divBdr>
                                          <w:divsChild>
                                            <w:div w:id="298608897">
                                              <w:marLeft w:val="0"/>
                                              <w:marRight w:val="0"/>
                                              <w:marTop w:val="0"/>
                                              <w:marBottom w:val="0"/>
                                              <w:divBdr>
                                                <w:top w:val="none" w:sz="0" w:space="0" w:color="auto"/>
                                                <w:left w:val="none" w:sz="0" w:space="0" w:color="auto"/>
                                                <w:bottom w:val="none" w:sz="0" w:space="0" w:color="auto"/>
                                                <w:right w:val="none" w:sz="0" w:space="0" w:color="auto"/>
                                              </w:divBdr>
                                              <w:divsChild>
                                                <w:div w:id="298608718">
                                                  <w:marLeft w:val="45"/>
                                                  <w:marRight w:val="75"/>
                                                  <w:marTop w:val="0"/>
                                                  <w:marBottom w:val="0"/>
                                                  <w:divBdr>
                                                    <w:top w:val="none" w:sz="0" w:space="0" w:color="auto"/>
                                                    <w:left w:val="none" w:sz="0" w:space="0" w:color="auto"/>
                                                    <w:bottom w:val="none" w:sz="0" w:space="0" w:color="auto"/>
                                                    <w:right w:val="none" w:sz="0" w:space="0" w:color="auto"/>
                                                  </w:divBdr>
                                                  <w:divsChild>
                                                    <w:div w:id="298608774">
                                                      <w:marLeft w:val="0"/>
                                                      <w:marRight w:val="0"/>
                                                      <w:marTop w:val="0"/>
                                                      <w:marBottom w:val="0"/>
                                                      <w:divBdr>
                                                        <w:top w:val="none" w:sz="0" w:space="0" w:color="auto"/>
                                                        <w:left w:val="none" w:sz="0" w:space="0" w:color="auto"/>
                                                        <w:bottom w:val="none" w:sz="0" w:space="0" w:color="auto"/>
                                                        <w:right w:val="none" w:sz="0" w:space="0" w:color="auto"/>
                                                      </w:divBdr>
                                                      <w:divsChild>
                                                        <w:div w:id="298608766">
                                                          <w:marLeft w:val="0"/>
                                                          <w:marRight w:val="-24000"/>
                                                          <w:marTop w:val="0"/>
                                                          <w:marBottom w:val="0"/>
                                                          <w:divBdr>
                                                            <w:top w:val="none" w:sz="0" w:space="0" w:color="auto"/>
                                                            <w:left w:val="none" w:sz="0" w:space="0" w:color="auto"/>
                                                            <w:bottom w:val="none" w:sz="0" w:space="0" w:color="auto"/>
                                                            <w:right w:val="none" w:sz="0" w:space="0" w:color="auto"/>
                                                          </w:divBdr>
                                                          <w:divsChild>
                                                            <w:div w:id="298608729">
                                                              <w:marLeft w:val="0"/>
                                                              <w:marRight w:val="0"/>
                                                              <w:marTop w:val="0"/>
                                                              <w:marBottom w:val="0"/>
                                                              <w:divBdr>
                                                                <w:top w:val="none" w:sz="0" w:space="0" w:color="auto"/>
                                                                <w:left w:val="none" w:sz="0" w:space="0" w:color="auto"/>
                                                                <w:bottom w:val="none" w:sz="0" w:space="0" w:color="auto"/>
                                                                <w:right w:val="none" w:sz="0" w:space="0" w:color="auto"/>
                                                              </w:divBdr>
                                                              <w:divsChild>
                                                                <w:div w:id="298608682">
                                                                  <w:marLeft w:val="0"/>
                                                                  <w:marRight w:val="0"/>
                                                                  <w:marTop w:val="0"/>
                                                                  <w:marBottom w:val="0"/>
                                                                  <w:divBdr>
                                                                    <w:top w:val="none" w:sz="0" w:space="0" w:color="auto"/>
                                                                    <w:left w:val="none" w:sz="0" w:space="0" w:color="auto"/>
                                                                    <w:bottom w:val="none" w:sz="0" w:space="0" w:color="auto"/>
                                                                    <w:right w:val="none" w:sz="0" w:space="0" w:color="auto"/>
                                                                  </w:divBdr>
                                                                  <w:divsChild>
                                                                    <w:div w:id="29860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98608783">
      <w:marLeft w:val="0"/>
      <w:marRight w:val="0"/>
      <w:marTop w:val="0"/>
      <w:marBottom w:val="0"/>
      <w:divBdr>
        <w:top w:val="none" w:sz="0" w:space="0" w:color="auto"/>
        <w:left w:val="none" w:sz="0" w:space="0" w:color="auto"/>
        <w:bottom w:val="none" w:sz="0" w:space="0" w:color="auto"/>
        <w:right w:val="none" w:sz="0" w:space="0" w:color="auto"/>
      </w:divBdr>
      <w:divsChild>
        <w:div w:id="298608795">
          <w:marLeft w:val="0"/>
          <w:marRight w:val="0"/>
          <w:marTop w:val="0"/>
          <w:marBottom w:val="0"/>
          <w:divBdr>
            <w:top w:val="none" w:sz="0" w:space="0" w:color="auto"/>
            <w:left w:val="none" w:sz="0" w:space="0" w:color="auto"/>
            <w:bottom w:val="none" w:sz="0" w:space="0" w:color="auto"/>
            <w:right w:val="none" w:sz="0" w:space="0" w:color="auto"/>
          </w:divBdr>
          <w:divsChild>
            <w:div w:id="298608892">
              <w:marLeft w:val="0"/>
              <w:marRight w:val="0"/>
              <w:marTop w:val="0"/>
              <w:marBottom w:val="0"/>
              <w:divBdr>
                <w:top w:val="none" w:sz="0" w:space="0" w:color="auto"/>
                <w:left w:val="none" w:sz="0" w:space="0" w:color="auto"/>
                <w:bottom w:val="none" w:sz="0" w:space="0" w:color="auto"/>
                <w:right w:val="none" w:sz="0" w:space="0" w:color="auto"/>
              </w:divBdr>
              <w:divsChild>
                <w:div w:id="298608707">
                  <w:marLeft w:val="0"/>
                  <w:marRight w:val="0"/>
                  <w:marTop w:val="0"/>
                  <w:marBottom w:val="0"/>
                  <w:divBdr>
                    <w:top w:val="none" w:sz="0" w:space="0" w:color="auto"/>
                    <w:left w:val="none" w:sz="0" w:space="0" w:color="auto"/>
                    <w:bottom w:val="none" w:sz="0" w:space="0" w:color="auto"/>
                    <w:right w:val="none" w:sz="0" w:space="0" w:color="auto"/>
                  </w:divBdr>
                  <w:divsChild>
                    <w:div w:id="298608704">
                      <w:marLeft w:val="0"/>
                      <w:marRight w:val="0"/>
                      <w:marTop w:val="0"/>
                      <w:marBottom w:val="0"/>
                      <w:divBdr>
                        <w:top w:val="single" w:sz="24" w:space="0" w:color="E8E8E8"/>
                        <w:left w:val="none" w:sz="0" w:space="0" w:color="auto"/>
                        <w:bottom w:val="none" w:sz="0" w:space="0" w:color="auto"/>
                        <w:right w:val="none" w:sz="0" w:space="0" w:color="auto"/>
                      </w:divBdr>
                      <w:divsChild>
                        <w:div w:id="298608715">
                          <w:marLeft w:val="0"/>
                          <w:marRight w:val="5415"/>
                          <w:marTop w:val="0"/>
                          <w:marBottom w:val="0"/>
                          <w:divBdr>
                            <w:top w:val="none" w:sz="0" w:space="0" w:color="auto"/>
                            <w:left w:val="none" w:sz="0" w:space="0" w:color="auto"/>
                            <w:bottom w:val="none" w:sz="0" w:space="0" w:color="auto"/>
                            <w:right w:val="none" w:sz="0" w:space="0" w:color="auto"/>
                          </w:divBdr>
                          <w:divsChild>
                            <w:div w:id="298608904">
                              <w:marLeft w:val="0"/>
                              <w:marRight w:val="0"/>
                              <w:marTop w:val="0"/>
                              <w:marBottom w:val="0"/>
                              <w:divBdr>
                                <w:top w:val="single" w:sz="6" w:space="0" w:color="9B9B9B"/>
                                <w:left w:val="none" w:sz="0" w:space="0" w:color="auto"/>
                                <w:bottom w:val="none" w:sz="0" w:space="0" w:color="auto"/>
                                <w:right w:val="none" w:sz="0" w:space="0" w:color="auto"/>
                              </w:divBdr>
                              <w:divsChild>
                                <w:div w:id="298608778">
                                  <w:marLeft w:val="0"/>
                                  <w:marRight w:val="0"/>
                                  <w:marTop w:val="0"/>
                                  <w:marBottom w:val="0"/>
                                  <w:divBdr>
                                    <w:top w:val="single" w:sz="6" w:space="0" w:color="FFFFFF"/>
                                    <w:left w:val="none" w:sz="0" w:space="0" w:color="auto"/>
                                    <w:bottom w:val="none" w:sz="0" w:space="0" w:color="auto"/>
                                    <w:right w:val="none" w:sz="0" w:space="0" w:color="auto"/>
                                  </w:divBdr>
                                  <w:divsChild>
                                    <w:div w:id="298608740">
                                      <w:marLeft w:val="0"/>
                                      <w:marRight w:val="0"/>
                                      <w:marTop w:val="0"/>
                                      <w:marBottom w:val="0"/>
                                      <w:divBdr>
                                        <w:top w:val="none" w:sz="0" w:space="0" w:color="auto"/>
                                        <w:left w:val="none" w:sz="0" w:space="0" w:color="auto"/>
                                        <w:bottom w:val="none" w:sz="0" w:space="0" w:color="auto"/>
                                        <w:right w:val="none" w:sz="0" w:space="0" w:color="auto"/>
                                      </w:divBdr>
                                      <w:divsChild>
                                        <w:div w:id="298608731">
                                          <w:marLeft w:val="0"/>
                                          <w:marRight w:val="0"/>
                                          <w:marTop w:val="0"/>
                                          <w:marBottom w:val="0"/>
                                          <w:divBdr>
                                            <w:top w:val="none" w:sz="0" w:space="0" w:color="auto"/>
                                            <w:left w:val="none" w:sz="0" w:space="0" w:color="auto"/>
                                            <w:bottom w:val="none" w:sz="0" w:space="0" w:color="auto"/>
                                            <w:right w:val="none" w:sz="0" w:space="0" w:color="auto"/>
                                          </w:divBdr>
                                          <w:divsChild>
                                            <w:div w:id="298608758">
                                              <w:marLeft w:val="0"/>
                                              <w:marRight w:val="0"/>
                                              <w:marTop w:val="0"/>
                                              <w:marBottom w:val="0"/>
                                              <w:divBdr>
                                                <w:top w:val="none" w:sz="0" w:space="0" w:color="auto"/>
                                                <w:left w:val="none" w:sz="0" w:space="0" w:color="auto"/>
                                                <w:bottom w:val="none" w:sz="0" w:space="0" w:color="auto"/>
                                                <w:right w:val="none" w:sz="0" w:space="0" w:color="auto"/>
                                              </w:divBdr>
                                              <w:divsChild>
                                                <w:div w:id="298608793">
                                                  <w:marLeft w:val="45"/>
                                                  <w:marRight w:val="75"/>
                                                  <w:marTop w:val="0"/>
                                                  <w:marBottom w:val="0"/>
                                                  <w:divBdr>
                                                    <w:top w:val="none" w:sz="0" w:space="0" w:color="auto"/>
                                                    <w:left w:val="none" w:sz="0" w:space="0" w:color="auto"/>
                                                    <w:bottom w:val="none" w:sz="0" w:space="0" w:color="auto"/>
                                                    <w:right w:val="none" w:sz="0" w:space="0" w:color="auto"/>
                                                  </w:divBdr>
                                                  <w:divsChild>
                                                    <w:div w:id="298608728">
                                                      <w:marLeft w:val="0"/>
                                                      <w:marRight w:val="0"/>
                                                      <w:marTop w:val="0"/>
                                                      <w:marBottom w:val="0"/>
                                                      <w:divBdr>
                                                        <w:top w:val="none" w:sz="0" w:space="0" w:color="auto"/>
                                                        <w:left w:val="none" w:sz="0" w:space="0" w:color="auto"/>
                                                        <w:bottom w:val="none" w:sz="0" w:space="0" w:color="auto"/>
                                                        <w:right w:val="none" w:sz="0" w:space="0" w:color="auto"/>
                                                      </w:divBdr>
                                                      <w:divsChild>
                                                        <w:div w:id="298608742">
                                                          <w:marLeft w:val="0"/>
                                                          <w:marRight w:val="-24000"/>
                                                          <w:marTop w:val="0"/>
                                                          <w:marBottom w:val="0"/>
                                                          <w:divBdr>
                                                            <w:top w:val="none" w:sz="0" w:space="0" w:color="auto"/>
                                                            <w:left w:val="none" w:sz="0" w:space="0" w:color="auto"/>
                                                            <w:bottom w:val="none" w:sz="0" w:space="0" w:color="auto"/>
                                                            <w:right w:val="none" w:sz="0" w:space="0" w:color="auto"/>
                                                          </w:divBdr>
                                                          <w:divsChild>
                                                            <w:div w:id="298608725">
                                                              <w:marLeft w:val="0"/>
                                                              <w:marRight w:val="0"/>
                                                              <w:marTop w:val="0"/>
                                                              <w:marBottom w:val="0"/>
                                                              <w:divBdr>
                                                                <w:top w:val="none" w:sz="0" w:space="0" w:color="auto"/>
                                                                <w:left w:val="none" w:sz="0" w:space="0" w:color="auto"/>
                                                                <w:bottom w:val="none" w:sz="0" w:space="0" w:color="auto"/>
                                                                <w:right w:val="none" w:sz="0" w:space="0" w:color="auto"/>
                                                              </w:divBdr>
                                                              <w:divsChild>
                                                                <w:div w:id="29860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98608797">
      <w:marLeft w:val="0"/>
      <w:marRight w:val="0"/>
      <w:marTop w:val="0"/>
      <w:marBottom w:val="0"/>
      <w:divBdr>
        <w:top w:val="none" w:sz="0" w:space="0" w:color="auto"/>
        <w:left w:val="none" w:sz="0" w:space="0" w:color="auto"/>
        <w:bottom w:val="none" w:sz="0" w:space="0" w:color="auto"/>
        <w:right w:val="none" w:sz="0" w:space="0" w:color="auto"/>
      </w:divBdr>
      <w:divsChild>
        <w:div w:id="298608798">
          <w:marLeft w:val="45"/>
          <w:marRight w:val="45"/>
          <w:marTop w:val="45"/>
          <w:marBottom w:val="0"/>
          <w:divBdr>
            <w:top w:val="none" w:sz="0" w:space="0" w:color="auto"/>
            <w:left w:val="none" w:sz="0" w:space="0" w:color="auto"/>
            <w:bottom w:val="none" w:sz="0" w:space="0" w:color="auto"/>
            <w:right w:val="none" w:sz="0" w:space="0" w:color="auto"/>
          </w:divBdr>
        </w:div>
      </w:divsChild>
    </w:div>
    <w:div w:id="298608802">
      <w:marLeft w:val="0"/>
      <w:marRight w:val="0"/>
      <w:marTop w:val="0"/>
      <w:marBottom w:val="0"/>
      <w:divBdr>
        <w:top w:val="none" w:sz="0" w:space="0" w:color="auto"/>
        <w:left w:val="none" w:sz="0" w:space="0" w:color="auto"/>
        <w:bottom w:val="none" w:sz="0" w:space="0" w:color="auto"/>
        <w:right w:val="none" w:sz="0" w:space="0" w:color="auto"/>
      </w:divBdr>
      <w:divsChild>
        <w:div w:id="298608808">
          <w:marLeft w:val="0"/>
          <w:marRight w:val="0"/>
          <w:marTop w:val="0"/>
          <w:marBottom w:val="0"/>
          <w:divBdr>
            <w:top w:val="none" w:sz="0" w:space="0" w:color="auto"/>
            <w:left w:val="none" w:sz="0" w:space="0" w:color="auto"/>
            <w:bottom w:val="none" w:sz="0" w:space="0" w:color="auto"/>
            <w:right w:val="none" w:sz="0" w:space="0" w:color="auto"/>
          </w:divBdr>
          <w:divsChild>
            <w:div w:id="298608800">
              <w:marLeft w:val="0"/>
              <w:marRight w:val="0"/>
              <w:marTop w:val="0"/>
              <w:marBottom w:val="0"/>
              <w:divBdr>
                <w:top w:val="none" w:sz="0" w:space="0" w:color="auto"/>
                <w:left w:val="none" w:sz="0" w:space="0" w:color="auto"/>
                <w:bottom w:val="none" w:sz="0" w:space="0" w:color="auto"/>
                <w:right w:val="none" w:sz="0" w:space="0" w:color="auto"/>
              </w:divBdr>
            </w:div>
            <w:div w:id="298608801">
              <w:marLeft w:val="0"/>
              <w:marRight w:val="0"/>
              <w:marTop w:val="0"/>
              <w:marBottom w:val="0"/>
              <w:divBdr>
                <w:top w:val="none" w:sz="0" w:space="0" w:color="auto"/>
                <w:left w:val="none" w:sz="0" w:space="0" w:color="auto"/>
                <w:bottom w:val="none" w:sz="0" w:space="0" w:color="auto"/>
                <w:right w:val="none" w:sz="0" w:space="0" w:color="auto"/>
              </w:divBdr>
            </w:div>
            <w:div w:id="298608805">
              <w:marLeft w:val="0"/>
              <w:marRight w:val="0"/>
              <w:marTop w:val="0"/>
              <w:marBottom w:val="0"/>
              <w:divBdr>
                <w:top w:val="none" w:sz="0" w:space="0" w:color="auto"/>
                <w:left w:val="none" w:sz="0" w:space="0" w:color="auto"/>
                <w:bottom w:val="none" w:sz="0" w:space="0" w:color="auto"/>
                <w:right w:val="none" w:sz="0" w:space="0" w:color="auto"/>
              </w:divBdr>
            </w:div>
            <w:div w:id="298608807">
              <w:marLeft w:val="0"/>
              <w:marRight w:val="0"/>
              <w:marTop w:val="0"/>
              <w:marBottom w:val="0"/>
              <w:divBdr>
                <w:top w:val="none" w:sz="0" w:space="0" w:color="auto"/>
                <w:left w:val="none" w:sz="0" w:space="0" w:color="auto"/>
                <w:bottom w:val="none" w:sz="0" w:space="0" w:color="auto"/>
                <w:right w:val="none" w:sz="0" w:space="0" w:color="auto"/>
              </w:divBdr>
            </w:div>
            <w:div w:id="29860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608804">
      <w:marLeft w:val="0"/>
      <w:marRight w:val="0"/>
      <w:marTop w:val="0"/>
      <w:marBottom w:val="0"/>
      <w:divBdr>
        <w:top w:val="none" w:sz="0" w:space="0" w:color="auto"/>
        <w:left w:val="none" w:sz="0" w:space="0" w:color="auto"/>
        <w:bottom w:val="none" w:sz="0" w:space="0" w:color="auto"/>
        <w:right w:val="none" w:sz="0" w:space="0" w:color="auto"/>
      </w:divBdr>
      <w:divsChild>
        <w:div w:id="298608811">
          <w:marLeft w:val="0"/>
          <w:marRight w:val="0"/>
          <w:marTop w:val="0"/>
          <w:marBottom w:val="0"/>
          <w:divBdr>
            <w:top w:val="none" w:sz="0" w:space="0" w:color="auto"/>
            <w:left w:val="none" w:sz="0" w:space="0" w:color="auto"/>
            <w:bottom w:val="none" w:sz="0" w:space="0" w:color="auto"/>
            <w:right w:val="none" w:sz="0" w:space="0" w:color="auto"/>
          </w:divBdr>
          <w:divsChild>
            <w:div w:id="2986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608806">
      <w:marLeft w:val="0"/>
      <w:marRight w:val="0"/>
      <w:marTop w:val="0"/>
      <w:marBottom w:val="0"/>
      <w:divBdr>
        <w:top w:val="none" w:sz="0" w:space="0" w:color="auto"/>
        <w:left w:val="none" w:sz="0" w:space="0" w:color="auto"/>
        <w:bottom w:val="none" w:sz="0" w:space="0" w:color="auto"/>
        <w:right w:val="none" w:sz="0" w:space="0" w:color="auto"/>
      </w:divBdr>
      <w:divsChild>
        <w:div w:id="298608809">
          <w:marLeft w:val="0"/>
          <w:marRight w:val="0"/>
          <w:marTop w:val="0"/>
          <w:marBottom w:val="0"/>
          <w:divBdr>
            <w:top w:val="none" w:sz="0" w:space="0" w:color="auto"/>
            <w:left w:val="none" w:sz="0" w:space="0" w:color="auto"/>
            <w:bottom w:val="none" w:sz="0" w:space="0" w:color="auto"/>
            <w:right w:val="none" w:sz="0" w:space="0" w:color="auto"/>
          </w:divBdr>
          <w:divsChild>
            <w:div w:id="298608799">
              <w:marLeft w:val="0"/>
              <w:marRight w:val="0"/>
              <w:marTop w:val="0"/>
              <w:marBottom w:val="0"/>
              <w:divBdr>
                <w:top w:val="none" w:sz="0" w:space="0" w:color="auto"/>
                <w:left w:val="none" w:sz="0" w:space="0" w:color="auto"/>
                <w:bottom w:val="none" w:sz="0" w:space="0" w:color="auto"/>
                <w:right w:val="none" w:sz="0" w:space="0" w:color="auto"/>
              </w:divBdr>
            </w:div>
            <w:div w:id="298608810">
              <w:marLeft w:val="0"/>
              <w:marRight w:val="0"/>
              <w:marTop w:val="0"/>
              <w:marBottom w:val="0"/>
              <w:divBdr>
                <w:top w:val="none" w:sz="0" w:space="0" w:color="auto"/>
                <w:left w:val="none" w:sz="0" w:space="0" w:color="auto"/>
                <w:bottom w:val="none" w:sz="0" w:space="0" w:color="auto"/>
                <w:right w:val="none" w:sz="0" w:space="0" w:color="auto"/>
              </w:divBdr>
            </w:div>
            <w:div w:id="298608812">
              <w:marLeft w:val="0"/>
              <w:marRight w:val="0"/>
              <w:marTop w:val="0"/>
              <w:marBottom w:val="0"/>
              <w:divBdr>
                <w:top w:val="none" w:sz="0" w:space="0" w:color="auto"/>
                <w:left w:val="none" w:sz="0" w:space="0" w:color="auto"/>
                <w:bottom w:val="none" w:sz="0" w:space="0" w:color="auto"/>
                <w:right w:val="none" w:sz="0" w:space="0" w:color="auto"/>
              </w:divBdr>
            </w:div>
            <w:div w:id="29860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608816">
      <w:marLeft w:val="0"/>
      <w:marRight w:val="0"/>
      <w:marTop w:val="0"/>
      <w:marBottom w:val="0"/>
      <w:divBdr>
        <w:top w:val="none" w:sz="0" w:space="0" w:color="auto"/>
        <w:left w:val="none" w:sz="0" w:space="0" w:color="auto"/>
        <w:bottom w:val="none" w:sz="0" w:space="0" w:color="auto"/>
        <w:right w:val="none" w:sz="0" w:space="0" w:color="auto"/>
      </w:divBdr>
      <w:divsChild>
        <w:div w:id="298608829">
          <w:marLeft w:val="0"/>
          <w:marRight w:val="0"/>
          <w:marTop w:val="0"/>
          <w:marBottom w:val="0"/>
          <w:divBdr>
            <w:top w:val="single" w:sz="6" w:space="0" w:color="3399CC"/>
            <w:left w:val="single" w:sz="6" w:space="0" w:color="3399CC"/>
            <w:bottom w:val="single" w:sz="6" w:space="0" w:color="3399CC"/>
            <w:right w:val="single" w:sz="6" w:space="0" w:color="3399CC"/>
          </w:divBdr>
          <w:divsChild>
            <w:div w:id="29860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608817">
      <w:marLeft w:val="0"/>
      <w:marRight w:val="0"/>
      <w:marTop w:val="0"/>
      <w:marBottom w:val="0"/>
      <w:divBdr>
        <w:top w:val="none" w:sz="0" w:space="0" w:color="auto"/>
        <w:left w:val="none" w:sz="0" w:space="0" w:color="auto"/>
        <w:bottom w:val="none" w:sz="0" w:space="0" w:color="auto"/>
        <w:right w:val="none" w:sz="0" w:space="0" w:color="auto"/>
      </w:divBdr>
      <w:divsChild>
        <w:div w:id="298608827">
          <w:marLeft w:val="0"/>
          <w:marRight w:val="0"/>
          <w:marTop w:val="0"/>
          <w:marBottom w:val="0"/>
          <w:divBdr>
            <w:top w:val="single" w:sz="6" w:space="0" w:color="3399CC"/>
            <w:left w:val="single" w:sz="6" w:space="0" w:color="3399CC"/>
            <w:bottom w:val="single" w:sz="6" w:space="0" w:color="3399CC"/>
            <w:right w:val="single" w:sz="6" w:space="0" w:color="3399CC"/>
          </w:divBdr>
          <w:divsChild>
            <w:div w:id="29860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608822">
      <w:marLeft w:val="0"/>
      <w:marRight w:val="0"/>
      <w:marTop w:val="0"/>
      <w:marBottom w:val="0"/>
      <w:divBdr>
        <w:top w:val="none" w:sz="0" w:space="0" w:color="auto"/>
        <w:left w:val="none" w:sz="0" w:space="0" w:color="auto"/>
        <w:bottom w:val="none" w:sz="0" w:space="0" w:color="auto"/>
        <w:right w:val="none" w:sz="0" w:space="0" w:color="auto"/>
      </w:divBdr>
      <w:divsChild>
        <w:div w:id="298608821">
          <w:marLeft w:val="0"/>
          <w:marRight w:val="0"/>
          <w:marTop w:val="100"/>
          <w:marBottom w:val="100"/>
          <w:divBdr>
            <w:top w:val="none" w:sz="0" w:space="0" w:color="auto"/>
            <w:left w:val="none" w:sz="0" w:space="0" w:color="auto"/>
            <w:bottom w:val="none" w:sz="0" w:space="0" w:color="auto"/>
            <w:right w:val="none" w:sz="0" w:space="0" w:color="auto"/>
          </w:divBdr>
          <w:divsChild>
            <w:div w:id="298608824">
              <w:marLeft w:val="0"/>
              <w:marRight w:val="0"/>
              <w:marTop w:val="0"/>
              <w:marBottom w:val="0"/>
              <w:divBdr>
                <w:top w:val="none" w:sz="0" w:space="0" w:color="auto"/>
                <w:left w:val="single" w:sz="6" w:space="0" w:color="999999"/>
                <w:bottom w:val="none" w:sz="0" w:space="0" w:color="auto"/>
                <w:right w:val="single" w:sz="6" w:space="0" w:color="999999"/>
              </w:divBdr>
              <w:divsChild>
                <w:div w:id="29860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608825">
      <w:marLeft w:val="0"/>
      <w:marRight w:val="0"/>
      <w:marTop w:val="0"/>
      <w:marBottom w:val="0"/>
      <w:divBdr>
        <w:top w:val="none" w:sz="0" w:space="0" w:color="auto"/>
        <w:left w:val="none" w:sz="0" w:space="0" w:color="auto"/>
        <w:bottom w:val="none" w:sz="0" w:space="0" w:color="auto"/>
        <w:right w:val="none" w:sz="0" w:space="0" w:color="auto"/>
      </w:divBdr>
      <w:divsChild>
        <w:div w:id="298608828">
          <w:marLeft w:val="0"/>
          <w:marRight w:val="0"/>
          <w:marTop w:val="0"/>
          <w:marBottom w:val="0"/>
          <w:divBdr>
            <w:top w:val="none" w:sz="0" w:space="0" w:color="auto"/>
            <w:left w:val="none" w:sz="0" w:space="0" w:color="auto"/>
            <w:bottom w:val="none" w:sz="0" w:space="0" w:color="auto"/>
            <w:right w:val="none" w:sz="0" w:space="0" w:color="auto"/>
          </w:divBdr>
          <w:divsChild>
            <w:div w:id="298608823">
              <w:marLeft w:val="0"/>
              <w:marRight w:val="0"/>
              <w:marTop w:val="0"/>
              <w:marBottom w:val="0"/>
              <w:divBdr>
                <w:top w:val="none" w:sz="0" w:space="0" w:color="auto"/>
                <w:left w:val="none" w:sz="0" w:space="0" w:color="auto"/>
                <w:bottom w:val="none" w:sz="0" w:space="0" w:color="auto"/>
                <w:right w:val="none" w:sz="0" w:space="0" w:color="auto"/>
              </w:divBdr>
              <w:divsChild>
                <w:div w:id="298608819">
                  <w:marLeft w:val="0"/>
                  <w:marRight w:val="0"/>
                  <w:marTop w:val="0"/>
                  <w:marBottom w:val="0"/>
                  <w:divBdr>
                    <w:top w:val="none" w:sz="0" w:space="0" w:color="auto"/>
                    <w:left w:val="none" w:sz="0" w:space="0" w:color="auto"/>
                    <w:bottom w:val="none" w:sz="0" w:space="0" w:color="auto"/>
                    <w:right w:val="none" w:sz="0" w:space="0" w:color="auto"/>
                  </w:divBdr>
                  <w:divsChild>
                    <w:div w:id="29860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608832">
      <w:marLeft w:val="0"/>
      <w:marRight w:val="0"/>
      <w:marTop w:val="0"/>
      <w:marBottom w:val="0"/>
      <w:divBdr>
        <w:top w:val="none" w:sz="0" w:space="0" w:color="auto"/>
        <w:left w:val="none" w:sz="0" w:space="0" w:color="auto"/>
        <w:bottom w:val="none" w:sz="0" w:space="0" w:color="auto"/>
        <w:right w:val="none" w:sz="0" w:space="0" w:color="auto"/>
      </w:divBdr>
      <w:divsChild>
        <w:div w:id="298608831">
          <w:marLeft w:val="0"/>
          <w:marRight w:val="0"/>
          <w:marTop w:val="100"/>
          <w:marBottom w:val="100"/>
          <w:divBdr>
            <w:top w:val="none" w:sz="0" w:space="0" w:color="auto"/>
            <w:left w:val="none" w:sz="0" w:space="0" w:color="auto"/>
            <w:bottom w:val="none" w:sz="0" w:space="0" w:color="auto"/>
            <w:right w:val="none" w:sz="0" w:space="0" w:color="auto"/>
          </w:divBdr>
          <w:divsChild>
            <w:div w:id="298608830">
              <w:marLeft w:val="0"/>
              <w:marRight w:val="0"/>
              <w:marTop w:val="0"/>
              <w:marBottom w:val="0"/>
              <w:divBdr>
                <w:top w:val="none" w:sz="0" w:space="0" w:color="auto"/>
                <w:left w:val="single" w:sz="6" w:space="0" w:color="999999"/>
                <w:bottom w:val="none" w:sz="0" w:space="0" w:color="auto"/>
                <w:right w:val="single" w:sz="6" w:space="0" w:color="999999"/>
              </w:divBdr>
              <w:divsChild>
                <w:div w:id="29860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608834">
      <w:marLeft w:val="0"/>
      <w:marRight w:val="0"/>
      <w:marTop w:val="0"/>
      <w:marBottom w:val="0"/>
      <w:divBdr>
        <w:top w:val="none" w:sz="0" w:space="0" w:color="auto"/>
        <w:left w:val="none" w:sz="0" w:space="0" w:color="auto"/>
        <w:bottom w:val="none" w:sz="0" w:space="0" w:color="auto"/>
        <w:right w:val="none" w:sz="0" w:space="0" w:color="auto"/>
      </w:divBdr>
      <w:divsChild>
        <w:div w:id="298608835">
          <w:marLeft w:val="0"/>
          <w:marRight w:val="0"/>
          <w:marTop w:val="100"/>
          <w:marBottom w:val="100"/>
          <w:divBdr>
            <w:top w:val="none" w:sz="0" w:space="0" w:color="auto"/>
            <w:left w:val="none" w:sz="0" w:space="0" w:color="auto"/>
            <w:bottom w:val="none" w:sz="0" w:space="0" w:color="auto"/>
            <w:right w:val="none" w:sz="0" w:space="0" w:color="auto"/>
          </w:divBdr>
          <w:divsChild>
            <w:div w:id="298608836">
              <w:marLeft w:val="0"/>
              <w:marRight w:val="0"/>
              <w:marTop w:val="0"/>
              <w:marBottom w:val="0"/>
              <w:divBdr>
                <w:top w:val="none" w:sz="0" w:space="0" w:color="auto"/>
                <w:left w:val="single" w:sz="6" w:space="0" w:color="999999"/>
                <w:bottom w:val="none" w:sz="0" w:space="0" w:color="auto"/>
                <w:right w:val="single" w:sz="6" w:space="0" w:color="999999"/>
              </w:divBdr>
              <w:divsChild>
                <w:div w:id="29860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608840">
      <w:marLeft w:val="0"/>
      <w:marRight w:val="0"/>
      <w:marTop w:val="0"/>
      <w:marBottom w:val="0"/>
      <w:divBdr>
        <w:top w:val="none" w:sz="0" w:space="0" w:color="auto"/>
        <w:left w:val="none" w:sz="0" w:space="0" w:color="auto"/>
        <w:bottom w:val="none" w:sz="0" w:space="0" w:color="auto"/>
        <w:right w:val="none" w:sz="0" w:space="0" w:color="auto"/>
      </w:divBdr>
      <w:divsChild>
        <w:div w:id="298608851">
          <w:marLeft w:val="0"/>
          <w:marRight w:val="0"/>
          <w:marTop w:val="0"/>
          <w:marBottom w:val="0"/>
          <w:divBdr>
            <w:top w:val="none" w:sz="0" w:space="0" w:color="auto"/>
            <w:left w:val="none" w:sz="0" w:space="0" w:color="auto"/>
            <w:bottom w:val="none" w:sz="0" w:space="0" w:color="auto"/>
            <w:right w:val="none" w:sz="0" w:space="0" w:color="auto"/>
          </w:divBdr>
        </w:div>
      </w:divsChild>
    </w:div>
    <w:div w:id="298608843">
      <w:marLeft w:val="0"/>
      <w:marRight w:val="0"/>
      <w:marTop w:val="0"/>
      <w:marBottom w:val="0"/>
      <w:divBdr>
        <w:top w:val="none" w:sz="0" w:space="0" w:color="auto"/>
        <w:left w:val="none" w:sz="0" w:space="0" w:color="auto"/>
        <w:bottom w:val="none" w:sz="0" w:space="0" w:color="auto"/>
        <w:right w:val="none" w:sz="0" w:space="0" w:color="auto"/>
      </w:divBdr>
      <w:divsChild>
        <w:div w:id="298608839">
          <w:marLeft w:val="0"/>
          <w:marRight w:val="0"/>
          <w:marTop w:val="0"/>
          <w:marBottom w:val="0"/>
          <w:divBdr>
            <w:top w:val="none" w:sz="0" w:space="0" w:color="auto"/>
            <w:left w:val="none" w:sz="0" w:space="0" w:color="auto"/>
            <w:bottom w:val="none" w:sz="0" w:space="0" w:color="auto"/>
            <w:right w:val="none" w:sz="0" w:space="0" w:color="auto"/>
          </w:divBdr>
          <w:divsChild>
            <w:div w:id="298608844">
              <w:marLeft w:val="0"/>
              <w:marRight w:val="0"/>
              <w:marTop w:val="0"/>
              <w:marBottom w:val="0"/>
              <w:divBdr>
                <w:top w:val="none" w:sz="0" w:space="0" w:color="auto"/>
                <w:left w:val="none" w:sz="0" w:space="0" w:color="auto"/>
                <w:bottom w:val="none" w:sz="0" w:space="0" w:color="auto"/>
                <w:right w:val="none" w:sz="0" w:space="0" w:color="auto"/>
              </w:divBdr>
              <w:divsChild>
                <w:div w:id="298608847">
                  <w:marLeft w:val="0"/>
                  <w:marRight w:val="0"/>
                  <w:marTop w:val="0"/>
                  <w:marBottom w:val="0"/>
                  <w:divBdr>
                    <w:top w:val="none" w:sz="0" w:space="0" w:color="auto"/>
                    <w:left w:val="none" w:sz="0" w:space="0" w:color="auto"/>
                    <w:bottom w:val="none" w:sz="0" w:space="0" w:color="auto"/>
                    <w:right w:val="none" w:sz="0" w:space="0" w:color="auto"/>
                  </w:divBdr>
                  <w:divsChild>
                    <w:div w:id="298608841">
                      <w:marLeft w:val="0"/>
                      <w:marRight w:val="0"/>
                      <w:marTop w:val="0"/>
                      <w:marBottom w:val="0"/>
                      <w:divBdr>
                        <w:top w:val="none" w:sz="0" w:space="0" w:color="auto"/>
                        <w:left w:val="none" w:sz="0" w:space="0" w:color="auto"/>
                        <w:bottom w:val="none" w:sz="0" w:space="0" w:color="auto"/>
                        <w:right w:val="none" w:sz="0" w:space="0" w:color="auto"/>
                      </w:divBdr>
                      <w:divsChild>
                        <w:div w:id="298608848">
                          <w:marLeft w:val="0"/>
                          <w:marRight w:val="0"/>
                          <w:marTop w:val="0"/>
                          <w:marBottom w:val="0"/>
                          <w:divBdr>
                            <w:top w:val="none" w:sz="0" w:space="0" w:color="auto"/>
                            <w:left w:val="none" w:sz="0" w:space="0" w:color="auto"/>
                            <w:bottom w:val="none" w:sz="0" w:space="0" w:color="auto"/>
                            <w:right w:val="none" w:sz="0" w:space="0" w:color="auto"/>
                          </w:divBdr>
                          <w:divsChild>
                            <w:div w:id="298608838">
                              <w:marLeft w:val="0"/>
                              <w:marRight w:val="0"/>
                              <w:marTop w:val="240"/>
                              <w:marBottom w:val="0"/>
                              <w:divBdr>
                                <w:top w:val="none" w:sz="0" w:space="0" w:color="auto"/>
                                <w:left w:val="none" w:sz="0" w:space="0" w:color="auto"/>
                                <w:bottom w:val="none" w:sz="0" w:space="0" w:color="auto"/>
                                <w:right w:val="none" w:sz="0" w:space="0" w:color="auto"/>
                              </w:divBdr>
                              <w:divsChild>
                                <w:div w:id="298608842">
                                  <w:marLeft w:val="0"/>
                                  <w:marRight w:val="240"/>
                                  <w:marTop w:val="0"/>
                                  <w:marBottom w:val="0"/>
                                  <w:divBdr>
                                    <w:top w:val="none" w:sz="0" w:space="0" w:color="auto"/>
                                    <w:left w:val="none" w:sz="0" w:space="0" w:color="auto"/>
                                    <w:bottom w:val="none" w:sz="0" w:space="0" w:color="auto"/>
                                    <w:right w:val="none" w:sz="0" w:space="0" w:color="auto"/>
                                  </w:divBdr>
                                </w:div>
                                <w:div w:id="298608852">
                                  <w:marLeft w:val="0"/>
                                  <w:marRight w:val="240"/>
                                  <w:marTop w:val="0"/>
                                  <w:marBottom w:val="0"/>
                                  <w:divBdr>
                                    <w:top w:val="none" w:sz="0" w:space="0" w:color="auto"/>
                                    <w:left w:val="none" w:sz="0" w:space="0" w:color="auto"/>
                                    <w:bottom w:val="none" w:sz="0" w:space="0" w:color="auto"/>
                                    <w:right w:val="none" w:sz="0" w:space="0" w:color="auto"/>
                                  </w:divBdr>
                                </w:div>
                              </w:divsChild>
                            </w:div>
                            <w:div w:id="298608845">
                              <w:marLeft w:val="0"/>
                              <w:marRight w:val="0"/>
                              <w:marTop w:val="0"/>
                              <w:marBottom w:val="0"/>
                              <w:divBdr>
                                <w:top w:val="none" w:sz="0" w:space="0" w:color="auto"/>
                                <w:left w:val="none" w:sz="0" w:space="0" w:color="auto"/>
                                <w:bottom w:val="none" w:sz="0" w:space="0" w:color="auto"/>
                                <w:right w:val="none" w:sz="0" w:space="0" w:color="auto"/>
                              </w:divBdr>
                              <w:divsChild>
                                <w:div w:id="298608846">
                                  <w:marLeft w:val="0"/>
                                  <w:marRight w:val="0"/>
                                  <w:marTop w:val="0"/>
                                  <w:marBottom w:val="0"/>
                                  <w:divBdr>
                                    <w:top w:val="none" w:sz="0" w:space="0" w:color="auto"/>
                                    <w:left w:val="none" w:sz="0" w:space="0" w:color="auto"/>
                                    <w:bottom w:val="none" w:sz="0" w:space="0" w:color="auto"/>
                                    <w:right w:val="none" w:sz="0" w:space="0" w:color="auto"/>
                                  </w:divBdr>
                                </w:div>
                              </w:divsChild>
                            </w:div>
                            <w:div w:id="298608849">
                              <w:marLeft w:val="0"/>
                              <w:marRight w:val="0"/>
                              <w:marTop w:val="0"/>
                              <w:marBottom w:val="0"/>
                              <w:divBdr>
                                <w:top w:val="none" w:sz="0" w:space="0" w:color="auto"/>
                                <w:left w:val="none" w:sz="0" w:space="0" w:color="auto"/>
                                <w:bottom w:val="none" w:sz="0" w:space="0" w:color="auto"/>
                                <w:right w:val="none" w:sz="0" w:space="0" w:color="auto"/>
                              </w:divBdr>
                            </w:div>
                            <w:div w:id="298608850">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8608853">
      <w:marLeft w:val="0"/>
      <w:marRight w:val="0"/>
      <w:marTop w:val="0"/>
      <w:marBottom w:val="0"/>
      <w:divBdr>
        <w:top w:val="none" w:sz="0" w:space="0" w:color="auto"/>
        <w:left w:val="none" w:sz="0" w:space="0" w:color="auto"/>
        <w:bottom w:val="none" w:sz="0" w:space="0" w:color="auto"/>
        <w:right w:val="none" w:sz="0" w:space="0" w:color="auto"/>
      </w:divBdr>
      <w:divsChild>
        <w:div w:id="298608859">
          <w:marLeft w:val="0"/>
          <w:marRight w:val="0"/>
          <w:marTop w:val="0"/>
          <w:marBottom w:val="750"/>
          <w:divBdr>
            <w:top w:val="none" w:sz="0" w:space="0" w:color="auto"/>
            <w:left w:val="none" w:sz="0" w:space="0" w:color="auto"/>
            <w:bottom w:val="none" w:sz="0" w:space="0" w:color="auto"/>
            <w:right w:val="none" w:sz="0" w:space="0" w:color="auto"/>
          </w:divBdr>
          <w:divsChild>
            <w:div w:id="298608871">
              <w:marLeft w:val="0"/>
              <w:marRight w:val="0"/>
              <w:marTop w:val="0"/>
              <w:marBottom w:val="0"/>
              <w:divBdr>
                <w:top w:val="none" w:sz="0" w:space="0" w:color="auto"/>
                <w:left w:val="none" w:sz="0" w:space="0" w:color="auto"/>
                <w:bottom w:val="none" w:sz="0" w:space="0" w:color="auto"/>
                <w:right w:val="none" w:sz="0" w:space="0" w:color="auto"/>
              </w:divBdr>
              <w:divsChild>
                <w:div w:id="298608861">
                  <w:marLeft w:val="0"/>
                  <w:marRight w:val="0"/>
                  <w:marTop w:val="0"/>
                  <w:marBottom w:val="0"/>
                  <w:divBdr>
                    <w:top w:val="none" w:sz="0" w:space="0" w:color="auto"/>
                    <w:left w:val="none" w:sz="0" w:space="0" w:color="auto"/>
                    <w:bottom w:val="none" w:sz="0" w:space="0" w:color="auto"/>
                    <w:right w:val="none" w:sz="0" w:space="0" w:color="auto"/>
                  </w:divBdr>
                  <w:divsChild>
                    <w:div w:id="29860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608855">
      <w:marLeft w:val="0"/>
      <w:marRight w:val="0"/>
      <w:marTop w:val="0"/>
      <w:marBottom w:val="0"/>
      <w:divBdr>
        <w:top w:val="none" w:sz="0" w:space="0" w:color="auto"/>
        <w:left w:val="none" w:sz="0" w:space="0" w:color="auto"/>
        <w:bottom w:val="none" w:sz="0" w:space="0" w:color="auto"/>
        <w:right w:val="none" w:sz="0" w:space="0" w:color="auto"/>
      </w:divBdr>
      <w:divsChild>
        <w:div w:id="298608868">
          <w:marLeft w:val="0"/>
          <w:marRight w:val="0"/>
          <w:marTop w:val="0"/>
          <w:marBottom w:val="750"/>
          <w:divBdr>
            <w:top w:val="none" w:sz="0" w:space="0" w:color="auto"/>
            <w:left w:val="none" w:sz="0" w:space="0" w:color="auto"/>
            <w:bottom w:val="none" w:sz="0" w:space="0" w:color="auto"/>
            <w:right w:val="none" w:sz="0" w:space="0" w:color="auto"/>
          </w:divBdr>
          <w:divsChild>
            <w:div w:id="298608865">
              <w:marLeft w:val="0"/>
              <w:marRight w:val="0"/>
              <w:marTop w:val="0"/>
              <w:marBottom w:val="0"/>
              <w:divBdr>
                <w:top w:val="none" w:sz="0" w:space="0" w:color="auto"/>
                <w:left w:val="none" w:sz="0" w:space="0" w:color="auto"/>
                <w:bottom w:val="none" w:sz="0" w:space="0" w:color="auto"/>
                <w:right w:val="none" w:sz="0" w:space="0" w:color="auto"/>
              </w:divBdr>
              <w:divsChild>
                <w:div w:id="298608863">
                  <w:marLeft w:val="0"/>
                  <w:marRight w:val="0"/>
                  <w:marTop w:val="0"/>
                  <w:marBottom w:val="0"/>
                  <w:divBdr>
                    <w:top w:val="none" w:sz="0" w:space="0" w:color="auto"/>
                    <w:left w:val="none" w:sz="0" w:space="0" w:color="auto"/>
                    <w:bottom w:val="none" w:sz="0" w:space="0" w:color="auto"/>
                    <w:right w:val="none" w:sz="0" w:space="0" w:color="auto"/>
                  </w:divBdr>
                  <w:divsChild>
                    <w:div w:id="29860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608862">
      <w:marLeft w:val="0"/>
      <w:marRight w:val="0"/>
      <w:marTop w:val="45"/>
      <w:marBottom w:val="45"/>
      <w:divBdr>
        <w:top w:val="none" w:sz="0" w:space="0" w:color="auto"/>
        <w:left w:val="none" w:sz="0" w:space="0" w:color="auto"/>
        <w:bottom w:val="none" w:sz="0" w:space="0" w:color="auto"/>
        <w:right w:val="none" w:sz="0" w:space="0" w:color="auto"/>
      </w:divBdr>
      <w:divsChild>
        <w:div w:id="298608854">
          <w:marLeft w:val="0"/>
          <w:marRight w:val="0"/>
          <w:marTop w:val="0"/>
          <w:marBottom w:val="0"/>
          <w:divBdr>
            <w:top w:val="none" w:sz="0" w:space="0" w:color="auto"/>
            <w:left w:val="none" w:sz="0" w:space="0" w:color="auto"/>
            <w:bottom w:val="none" w:sz="0" w:space="0" w:color="auto"/>
            <w:right w:val="none" w:sz="0" w:space="0" w:color="auto"/>
          </w:divBdr>
          <w:divsChild>
            <w:div w:id="298608869">
              <w:marLeft w:val="0"/>
              <w:marRight w:val="0"/>
              <w:marTop w:val="0"/>
              <w:marBottom w:val="0"/>
              <w:divBdr>
                <w:top w:val="none" w:sz="0" w:space="0" w:color="auto"/>
                <w:left w:val="none" w:sz="0" w:space="0" w:color="auto"/>
                <w:bottom w:val="none" w:sz="0" w:space="0" w:color="auto"/>
                <w:right w:val="none" w:sz="0" w:space="0" w:color="auto"/>
              </w:divBdr>
              <w:divsChild>
                <w:div w:id="298608857">
                  <w:marLeft w:val="0"/>
                  <w:marRight w:val="0"/>
                  <w:marTop w:val="0"/>
                  <w:marBottom w:val="0"/>
                  <w:divBdr>
                    <w:top w:val="none" w:sz="0" w:space="0" w:color="auto"/>
                    <w:left w:val="none" w:sz="0" w:space="0" w:color="auto"/>
                    <w:bottom w:val="none" w:sz="0" w:space="0" w:color="auto"/>
                    <w:right w:val="none" w:sz="0" w:space="0" w:color="auto"/>
                  </w:divBdr>
                  <w:divsChild>
                    <w:div w:id="298608858">
                      <w:marLeft w:val="0"/>
                      <w:marRight w:val="0"/>
                      <w:marTop w:val="0"/>
                      <w:marBottom w:val="0"/>
                      <w:divBdr>
                        <w:top w:val="none" w:sz="0" w:space="0" w:color="auto"/>
                        <w:left w:val="none" w:sz="0" w:space="0" w:color="auto"/>
                        <w:bottom w:val="none" w:sz="0" w:space="0" w:color="auto"/>
                        <w:right w:val="none" w:sz="0" w:space="0" w:color="auto"/>
                      </w:divBdr>
                      <w:divsChild>
                        <w:div w:id="298608866">
                          <w:marLeft w:val="2595"/>
                          <w:marRight w:val="3810"/>
                          <w:marTop w:val="0"/>
                          <w:marBottom w:val="0"/>
                          <w:divBdr>
                            <w:top w:val="none" w:sz="0" w:space="0" w:color="auto"/>
                            <w:left w:val="single" w:sz="6" w:space="0" w:color="D3E1F9"/>
                            <w:bottom w:val="none" w:sz="0" w:space="0" w:color="auto"/>
                            <w:right w:val="none" w:sz="0" w:space="0" w:color="auto"/>
                          </w:divBdr>
                          <w:divsChild>
                            <w:div w:id="298608867">
                              <w:marLeft w:val="0"/>
                              <w:marRight w:val="0"/>
                              <w:marTop w:val="0"/>
                              <w:marBottom w:val="0"/>
                              <w:divBdr>
                                <w:top w:val="none" w:sz="0" w:space="0" w:color="auto"/>
                                <w:left w:val="none" w:sz="0" w:space="0" w:color="auto"/>
                                <w:bottom w:val="none" w:sz="0" w:space="0" w:color="auto"/>
                                <w:right w:val="none" w:sz="0" w:space="0" w:color="auto"/>
                              </w:divBdr>
                              <w:divsChild>
                                <w:div w:id="298608872">
                                  <w:marLeft w:val="0"/>
                                  <w:marRight w:val="0"/>
                                  <w:marTop w:val="0"/>
                                  <w:marBottom w:val="0"/>
                                  <w:divBdr>
                                    <w:top w:val="none" w:sz="0" w:space="0" w:color="auto"/>
                                    <w:left w:val="none" w:sz="0" w:space="0" w:color="auto"/>
                                    <w:bottom w:val="none" w:sz="0" w:space="0" w:color="auto"/>
                                    <w:right w:val="none" w:sz="0" w:space="0" w:color="auto"/>
                                  </w:divBdr>
                                  <w:divsChild>
                                    <w:div w:id="298608860">
                                      <w:marLeft w:val="0"/>
                                      <w:marRight w:val="0"/>
                                      <w:marTop w:val="0"/>
                                      <w:marBottom w:val="0"/>
                                      <w:divBdr>
                                        <w:top w:val="none" w:sz="0" w:space="0" w:color="auto"/>
                                        <w:left w:val="none" w:sz="0" w:space="0" w:color="auto"/>
                                        <w:bottom w:val="none" w:sz="0" w:space="0" w:color="auto"/>
                                        <w:right w:val="none" w:sz="0" w:space="0" w:color="auto"/>
                                      </w:divBdr>
                                      <w:divsChild>
                                        <w:div w:id="29860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8608894">
      <w:marLeft w:val="0"/>
      <w:marRight w:val="0"/>
      <w:marTop w:val="0"/>
      <w:marBottom w:val="0"/>
      <w:divBdr>
        <w:top w:val="none" w:sz="0" w:space="0" w:color="auto"/>
        <w:left w:val="none" w:sz="0" w:space="0" w:color="auto"/>
        <w:bottom w:val="none" w:sz="0" w:space="0" w:color="auto"/>
        <w:right w:val="none" w:sz="0" w:space="0" w:color="auto"/>
      </w:divBdr>
      <w:divsChild>
        <w:div w:id="298608769">
          <w:marLeft w:val="0"/>
          <w:marRight w:val="0"/>
          <w:marTop w:val="0"/>
          <w:marBottom w:val="0"/>
          <w:divBdr>
            <w:top w:val="none" w:sz="0" w:space="0" w:color="auto"/>
            <w:left w:val="none" w:sz="0" w:space="0" w:color="auto"/>
            <w:bottom w:val="none" w:sz="0" w:space="0" w:color="auto"/>
            <w:right w:val="none" w:sz="0" w:space="0" w:color="auto"/>
          </w:divBdr>
          <w:divsChild>
            <w:div w:id="298608726">
              <w:marLeft w:val="0"/>
              <w:marRight w:val="0"/>
              <w:marTop w:val="0"/>
              <w:marBottom w:val="0"/>
              <w:divBdr>
                <w:top w:val="none" w:sz="0" w:space="0" w:color="auto"/>
                <w:left w:val="none" w:sz="0" w:space="0" w:color="auto"/>
                <w:bottom w:val="none" w:sz="0" w:space="0" w:color="auto"/>
                <w:right w:val="none" w:sz="0" w:space="0" w:color="auto"/>
              </w:divBdr>
              <w:divsChild>
                <w:div w:id="298608692">
                  <w:marLeft w:val="0"/>
                  <w:marRight w:val="0"/>
                  <w:marTop w:val="0"/>
                  <w:marBottom w:val="0"/>
                  <w:divBdr>
                    <w:top w:val="none" w:sz="0" w:space="0" w:color="auto"/>
                    <w:left w:val="none" w:sz="0" w:space="0" w:color="auto"/>
                    <w:bottom w:val="none" w:sz="0" w:space="0" w:color="auto"/>
                    <w:right w:val="none" w:sz="0" w:space="0" w:color="auto"/>
                  </w:divBdr>
                  <w:divsChild>
                    <w:div w:id="298608767">
                      <w:marLeft w:val="0"/>
                      <w:marRight w:val="0"/>
                      <w:marTop w:val="0"/>
                      <w:marBottom w:val="0"/>
                      <w:divBdr>
                        <w:top w:val="single" w:sz="24" w:space="0" w:color="E8E8E8"/>
                        <w:left w:val="none" w:sz="0" w:space="0" w:color="auto"/>
                        <w:bottom w:val="none" w:sz="0" w:space="0" w:color="auto"/>
                        <w:right w:val="none" w:sz="0" w:space="0" w:color="auto"/>
                      </w:divBdr>
                      <w:divsChild>
                        <w:div w:id="298608763">
                          <w:marLeft w:val="0"/>
                          <w:marRight w:val="5415"/>
                          <w:marTop w:val="0"/>
                          <w:marBottom w:val="0"/>
                          <w:divBdr>
                            <w:top w:val="none" w:sz="0" w:space="0" w:color="auto"/>
                            <w:left w:val="none" w:sz="0" w:space="0" w:color="auto"/>
                            <w:bottom w:val="none" w:sz="0" w:space="0" w:color="auto"/>
                            <w:right w:val="none" w:sz="0" w:space="0" w:color="auto"/>
                          </w:divBdr>
                          <w:divsChild>
                            <w:div w:id="298608796">
                              <w:marLeft w:val="0"/>
                              <w:marRight w:val="0"/>
                              <w:marTop w:val="0"/>
                              <w:marBottom w:val="0"/>
                              <w:divBdr>
                                <w:top w:val="single" w:sz="6" w:space="0" w:color="9B9B9B"/>
                                <w:left w:val="none" w:sz="0" w:space="0" w:color="auto"/>
                                <w:bottom w:val="none" w:sz="0" w:space="0" w:color="auto"/>
                                <w:right w:val="none" w:sz="0" w:space="0" w:color="auto"/>
                              </w:divBdr>
                              <w:divsChild>
                                <w:div w:id="298608748">
                                  <w:marLeft w:val="0"/>
                                  <w:marRight w:val="0"/>
                                  <w:marTop w:val="0"/>
                                  <w:marBottom w:val="0"/>
                                  <w:divBdr>
                                    <w:top w:val="single" w:sz="6" w:space="0" w:color="FFFFFF"/>
                                    <w:left w:val="none" w:sz="0" w:space="0" w:color="auto"/>
                                    <w:bottom w:val="none" w:sz="0" w:space="0" w:color="auto"/>
                                    <w:right w:val="none" w:sz="0" w:space="0" w:color="auto"/>
                                  </w:divBdr>
                                  <w:divsChild>
                                    <w:div w:id="298608787">
                                      <w:marLeft w:val="0"/>
                                      <w:marRight w:val="0"/>
                                      <w:marTop w:val="0"/>
                                      <w:marBottom w:val="0"/>
                                      <w:divBdr>
                                        <w:top w:val="none" w:sz="0" w:space="0" w:color="auto"/>
                                        <w:left w:val="none" w:sz="0" w:space="0" w:color="auto"/>
                                        <w:bottom w:val="none" w:sz="0" w:space="0" w:color="auto"/>
                                        <w:right w:val="none" w:sz="0" w:space="0" w:color="auto"/>
                                      </w:divBdr>
                                      <w:divsChild>
                                        <w:div w:id="298608713">
                                          <w:marLeft w:val="0"/>
                                          <w:marRight w:val="0"/>
                                          <w:marTop w:val="0"/>
                                          <w:marBottom w:val="0"/>
                                          <w:divBdr>
                                            <w:top w:val="none" w:sz="0" w:space="0" w:color="auto"/>
                                            <w:left w:val="none" w:sz="0" w:space="0" w:color="auto"/>
                                            <w:bottom w:val="none" w:sz="0" w:space="0" w:color="auto"/>
                                            <w:right w:val="none" w:sz="0" w:space="0" w:color="auto"/>
                                          </w:divBdr>
                                          <w:divsChild>
                                            <w:div w:id="298608880">
                                              <w:marLeft w:val="0"/>
                                              <w:marRight w:val="0"/>
                                              <w:marTop w:val="0"/>
                                              <w:marBottom w:val="0"/>
                                              <w:divBdr>
                                                <w:top w:val="none" w:sz="0" w:space="0" w:color="auto"/>
                                                <w:left w:val="none" w:sz="0" w:space="0" w:color="auto"/>
                                                <w:bottom w:val="none" w:sz="0" w:space="0" w:color="auto"/>
                                                <w:right w:val="none" w:sz="0" w:space="0" w:color="auto"/>
                                              </w:divBdr>
                                              <w:divsChild>
                                                <w:div w:id="298608893">
                                                  <w:marLeft w:val="45"/>
                                                  <w:marRight w:val="75"/>
                                                  <w:marTop w:val="0"/>
                                                  <w:marBottom w:val="0"/>
                                                  <w:divBdr>
                                                    <w:top w:val="none" w:sz="0" w:space="0" w:color="auto"/>
                                                    <w:left w:val="none" w:sz="0" w:space="0" w:color="auto"/>
                                                    <w:bottom w:val="none" w:sz="0" w:space="0" w:color="auto"/>
                                                    <w:right w:val="none" w:sz="0" w:space="0" w:color="auto"/>
                                                  </w:divBdr>
                                                  <w:divsChild>
                                                    <w:div w:id="298608888">
                                                      <w:marLeft w:val="0"/>
                                                      <w:marRight w:val="0"/>
                                                      <w:marTop w:val="0"/>
                                                      <w:marBottom w:val="0"/>
                                                      <w:divBdr>
                                                        <w:top w:val="none" w:sz="0" w:space="0" w:color="auto"/>
                                                        <w:left w:val="none" w:sz="0" w:space="0" w:color="auto"/>
                                                        <w:bottom w:val="none" w:sz="0" w:space="0" w:color="auto"/>
                                                        <w:right w:val="none" w:sz="0" w:space="0" w:color="auto"/>
                                                      </w:divBdr>
                                                      <w:divsChild>
                                                        <w:div w:id="298608727">
                                                          <w:marLeft w:val="0"/>
                                                          <w:marRight w:val="-24000"/>
                                                          <w:marTop w:val="0"/>
                                                          <w:marBottom w:val="0"/>
                                                          <w:divBdr>
                                                            <w:top w:val="none" w:sz="0" w:space="0" w:color="auto"/>
                                                            <w:left w:val="none" w:sz="0" w:space="0" w:color="auto"/>
                                                            <w:bottom w:val="none" w:sz="0" w:space="0" w:color="auto"/>
                                                            <w:right w:val="none" w:sz="0" w:space="0" w:color="auto"/>
                                                          </w:divBdr>
                                                          <w:divsChild>
                                                            <w:div w:id="298608691">
                                                              <w:marLeft w:val="0"/>
                                                              <w:marRight w:val="0"/>
                                                              <w:marTop w:val="0"/>
                                                              <w:marBottom w:val="0"/>
                                                              <w:divBdr>
                                                                <w:top w:val="none" w:sz="0" w:space="0" w:color="auto"/>
                                                                <w:left w:val="none" w:sz="0" w:space="0" w:color="auto"/>
                                                                <w:bottom w:val="none" w:sz="0" w:space="0" w:color="auto"/>
                                                                <w:right w:val="none" w:sz="0" w:space="0" w:color="auto"/>
                                                              </w:divBdr>
                                                              <w:divsChild>
                                                                <w:div w:id="29860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80176875">
      <w:bodyDiv w:val="1"/>
      <w:marLeft w:val="0"/>
      <w:marRight w:val="0"/>
      <w:marTop w:val="0"/>
      <w:marBottom w:val="0"/>
      <w:divBdr>
        <w:top w:val="none" w:sz="0" w:space="0" w:color="auto"/>
        <w:left w:val="none" w:sz="0" w:space="0" w:color="auto"/>
        <w:bottom w:val="none" w:sz="0" w:space="0" w:color="auto"/>
        <w:right w:val="none" w:sz="0" w:space="0" w:color="auto"/>
      </w:divBdr>
    </w:div>
    <w:div w:id="593903740">
      <w:bodyDiv w:val="1"/>
      <w:marLeft w:val="0"/>
      <w:marRight w:val="0"/>
      <w:marTop w:val="0"/>
      <w:marBottom w:val="0"/>
      <w:divBdr>
        <w:top w:val="none" w:sz="0" w:space="0" w:color="auto"/>
        <w:left w:val="none" w:sz="0" w:space="0" w:color="auto"/>
        <w:bottom w:val="none" w:sz="0" w:space="0" w:color="auto"/>
        <w:right w:val="none" w:sz="0" w:space="0" w:color="auto"/>
      </w:divBdr>
    </w:div>
    <w:div w:id="786437588">
      <w:bodyDiv w:val="1"/>
      <w:marLeft w:val="0"/>
      <w:marRight w:val="0"/>
      <w:marTop w:val="0"/>
      <w:marBottom w:val="0"/>
      <w:divBdr>
        <w:top w:val="none" w:sz="0" w:space="0" w:color="auto"/>
        <w:left w:val="none" w:sz="0" w:space="0" w:color="auto"/>
        <w:bottom w:val="none" w:sz="0" w:space="0" w:color="auto"/>
        <w:right w:val="none" w:sz="0" w:space="0" w:color="auto"/>
      </w:divBdr>
    </w:div>
    <w:div w:id="864293659">
      <w:bodyDiv w:val="1"/>
      <w:marLeft w:val="0"/>
      <w:marRight w:val="0"/>
      <w:marTop w:val="0"/>
      <w:marBottom w:val="0"/>
      <w:divBdr>
        <w:top w:val="none" w:sz="0" w:space="0" w:color="auto"/>
        <w:left w:val="none" w:sz="0" w:space="0" w:color="auto"/>
        <w:bottom w:val="none" w:sz="0" w:space="0" w:color="auto"/>
        <w:right w:val="none" w:sz="0" w:space="0" w:color="auto"/>
      </w:divBdr>
    </w:div>
    <w:div w:id="1719165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4.png"/><Relationship Id="rId39" Type="http://schemas.openxmlformats.org/officeDocument/2006/relationships/hyperlink" Target="http://dx.doi.org/10.1016/j.pecs.2010.01.003" TargetMode="External"/><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15.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emf"/><Relationship Id="rId25" Type="http://schemas.openxmlformats.org/officeDocument/2006/relationships/chart" Target="charts/chart5.xml"/><Relationship Id="rId33" Type="http://schemas.openxmlformats.org/officeDocument/2006/relationships/hyperlink" Target="http://www.oekosozial.at/index.php?id=12951" TargetMode="External"/><Relationship Id="rId38" Type="http://schemas.openxmlformats.org/officeDocument/2006/relationships/hyperlink" Target="http://www.sciencedirect.com/science?_ob=PublicationURL&amp;_tockey=%23TOC%235741%232011%23999629998%232636744%23FLA%23&amp;_cdi=5741&amp;_pubType=J&amp;view=c&amp;_auth=y&amp;_acct=C000059211&amp;_version=1&amp;_urlVersion=0&amp;_userid=2930208&amp;md5=9c704a7d4ddf52857591be83c77d56c0" TargetMode="Externa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2.emf"/><Relationship Id="rId29" Type="http://schemas.openxmlformats.org/officeDocument/2006/relationships/chart" Target="charts/chart8.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chart" Target="charts/chart4.xml"/><Relationship Id="rId32" Type="http://schemas.openxmlformats.org/officeDocument/2006/relationships/hyperlink" Target="http://www.raiffeisen-klimaschutz.at/eBusiness/rzb_template1/430016439953223678-430016439953223679_431416516093628114-610651226001952542-NA-NA-DE.html" TargetMode="External"/><Relationship Id="rId37" Type="http://schemas.openxmlformats.org/officeDocument/2006/relationships/hyperlink" Target="http://www.sciencedirect.com/science/journal/03601285"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chart" Target="charts/chart3.xml"/><Relationship Id="rId28" Type="http://schemas.openxmlformats.org/officeDocument/2006/relationships/chart" Target="charts/chart7.xml"/><Relationship Id="rId36" Type="http://schemas.openxmlformats.org/officeDocument/2006/relationships/hyperlink" Target="http://www.biofuelstp.eu/global_overview.html" TargetMode="External"/><Relationship Id="rId10" Type="http://schemas.openxmlformats.org/officeDocument/2006/relationships/image" Target="media/image3.emf"/><Relationship Id="rId19" Type="http://schemas.openxmlformats.org/officeDocument/2006/relationships/image" Target="media/image11.emf"/><Relationship Id="rId31"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chart" Target="charts/chart2.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hyperlink" Target="http://www.biofuel.org.uk/history-of-biofuels.htm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biofuelstp.eu/global_overview.html" TargetMode="External"/><Relationship Id="rId7" Type="http://schemas.openxmlformats.org/officeDocument/2006/relationships/hyperlink" Target="http://www.iogen.ca/company/demo_plant/index.html" TargetMode="External"/><Relationship Id="rId2" Type="http://schemas.openxmlformats.org/officeDocument/2006/relationships/hyperlink" Target="http://www.un.org/apps/news/story.asp?NewsID=37570&amp;Cr=food+prices&amp;Cr1" TargetMode="External"/><Relationship Id="rId1" Type="http://schemas.openxmlformats.org/officeDocument/2006/relationships/hyperlink" Target="http://web.worldbank.org/WBSITE/EXTERNAL/NEWS/0,,contentMDK:22802799~pagePK:64257043~piPK:437376~theSitePK:4607,00.html" TargetMode="External"/><Relationship Id="rId6" Type="http://schemas.openxmlformats.org/officeDocument/2006/relationships/hyperlink" Target="https://wcd.coe.int/wcd/com.instranet.InstraServlet?command=com.instranet.CmdBlobGet&amp;InstranetImage=1647916&amp;SecMode=1&amp;DocId=1614426&amp;Usage=2" TargetMode="External"/><Relationship Id="rId5" Type="http://schemas.openxmlformats.org/officeDocument/2006/relationships/hyperlink" Target="http://www.earth-policy.org/data_center/C23" TargetMode="External"/><Relationship Id="rId4" Type="http://schemas.openxmlformats.org/officeDocument/2006/relationships/hyperlink" Target="http://www.ethanolrfa.org/pages/ethanol-facts"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F:\WSSS%20IEEP\BIOFUELS%20project%20data.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F:\WSSS%20IEEP\BIOFUELS%20project%20data.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WSSS%20IEEP\BIOFUELS%20project%20data.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WSSS%20IEEP\BIOFUELS%20project%20data.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WSSS%20IEEP\BIOFUELS%20project%20data.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WSSS%20IEEP\BIOFUELS%20project%20data.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WSSS%20IEEP\BIOFUELS%20project%20data.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WSSS%20IEEP\BIOFUELS%20project%20data.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WSSS%20IEEP\BIOFUELS%20project%20data.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F:\WSSS%20IEEP\BIOFUELS%20project%20data.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de-AT"/>
  <c:chart>
    <c:title>
      <c:tx>
        <c:rich>
          <a:bodyPr/>
          <a:lstStyle/>
          <a:p>
            <a:pPr>
              <a:defRPr lang="cs-CZ" sz="1200"/>
            </a:pPr>
            <a:r>
              <a:rPr lang="cs-CZ" sz="1200"/>
              <a:t>F</a:t>
            </a:r>
            <a:r>
              <a:rPr lang="en-US" sz="1200"/>
              <a:t>ood price index (FAO)</a:t>
            </a:r>
          </a:p>
        </c:rich>
      </c:tx>
      <c:spPr>
        <a:noFill/>
        <a:ln w="25400">
          <a:noFill/>
        </a:ln>
      </c:spPr>
    </c:title>
    <c:plotArea>
      <c:layout>
        <c:manualLayout>
          <c:layoutTarget val="inner"/>
          <c:xMode val="edge"/>
          <c:yMode val="edge"/>
          <c:x val="0.11958573928259025"/>
          <c:y val="0.11861317335333134"/>
          <c:w val="0.69268875765529681"/>
          <c:h val="0.75035287255760064"/>
        </c:manualLayout>
      </c:layout>
      <c:lineChart>
        <c:grouping val="stacked"/>
        <c:ser>
          <c:idx val="0"/>
          <c:order val="0"/>
          <c:tx>
            <c:strRef>
              <c:f>List1!$B$46</c:f>
              <c:strCache>
                <c:ptCount val="1"/>
                <c:pt idx="0">
                  <c:v>food price index (FAO)</c:v>
                </c:pt>
              </c:strCache>
            </c:strRef>
          </c:tx>
          <c:marker>
            <c:symbol val="none"/>
          </c:marker>
          <c:cat>
            <c:numRef>
              <c:f>List1!$A$47:$A$66</c:f>
              <c:numCache>
                <c:formatCode>General</c:formatCode>
                <c:ptCount val="20"/>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numCache>
            </c:numRef>
          </c:cat>
          <c:val>
            <c:numRef>
              <c:f>List1!$B$47:$B$66</c:f>
              <c:numCache>
                <c:formatCode>0.0</c:formatCode>
                <c:ptCount val="20"/>
                <c:pt idx="0">
                  <c:v>108.44664910061199</c:v>
                </c:pt>
                <c:pt idx="1">
                  <c:v>104.60259301502613</c:v>
                </c:pt>
                <c:pt idx="2">
                  <c:v>110.54004805113226</c:v>
                </c:pt>
                <c:pt idx="3">
                  <c:v>123.18809541972936</c:v>
                </c:pt>
                <c:pt idx="4">
                  <c:v>129.10670997222527</c:v>
                </c:pt>
                <c:pt idx="5">
                  <c:v>118.38125689609085</c:v>
                </c:pt>
                <c:pt idx="6">
                  <c:v>107.06077308836819</c:v>
                </c:pt>
                <c:pt idx="7">
                  <c:v>92.300504261176471</c:v>
                </c:pt>
                <c:pt idx="8">
                  <c:v>90.182454006911158</c:v>
                </c:pt>
                <c:pt idx="9">
                  <c:v>93.26029228839306</c:v>
                </c:pt>
                <c:pt idx="10">
                  <c:v>89.917186977479162</c:v>
                </c:pt>
                <c:pt idx="11">
                  <c:v>97.689132252684274</c:v>
                </c:pt>
                <c:pt idx="12">
                  <c:v>112.39368076983592</c:v>
                </c:pt>
                <c:pt idx="13">
                  <c:v>117.27856734609821</c:v>
                </c:pt>
                <c:pt idx="14">
                  <c:v>126.54491297590125</c:v>
                </c:pt>
                <c:pt idx="15">
                  <c:v>158.58295756147947</c:v>
                </c:pt>
                <c:pt idx="16">
                  <c:v>199.59050655899622</c:v>
                </c:pt>
                <c:pt idx="17">
                  <c:v>156.83126988619244</c:v>
                </c:pt>
                <c:pt idx="18">
                  <c:v>185.10059011083078</c:v>
                </c:pt>
                <c:pt idx="19">
                  <c:v>230.74540952220985</c:v>
                </c:pt>
              </c:numCache>
            </c:numRef>
          </c:val>
        </c:ser>
        <c:marker val="1"/>
        <c:axId val="162829824"/>
        <c:axId val="163049472"/>
      </c:lineChart>
      <c:catAx>
        <c:axId val="162829824"/>
        <c:scaling>
          <c:orientation val="minMax"/>
        </c:scaling>
        <c:axPos val="b"/>
        <c:numFmt formatCode="General" sourceLinked="1"/>
        <c:tickLblPos val="nextTo"/>
        <c:txPr>
          <a:bodyPr/>
          <a:lstStyle/>
          <a:p>
            <a:pPr>
              <a:defRPr lang="cs-CZ" sz="700"/>
            </a:pPr>
            <a:endParaRPr lang="de-DE"/>
          </a:p>
        </c:txPr>
        <c:crossAx val="163049472"/>
        <c:crosses val="autoZero"/>
        <c:auto val="1"/>
        <c:lblAlgn val="ctr"/>
        <c:lblOffset val="100"/>
      </c:catAx>
      <c:valAx>
        <c:axId val="163049472"/>
        <c:scaling>
          <c:orientation val="minMax"/>
          <c:max val="240"/>
          <c:min val="50"/>
        </c:scaling>
        <c:axPos val="l"/>
        <c:majorGridlines/>
        <c:numFmt formatCode="0.0" sourceLinked="1"/>
        <c:tickLblPos val="nextTo"/>
        <c:txPr>
          <a:bodyPr/>
          <a:lstStyle/>
          <a:p>
            <a:pPr>
              <a:defRPr lang="cs-CZ" sz="800"/>
            </a:pPr>
            <a:endParaRPr lang="de-DE"/>
          </a:p>
        </c:txPr>
        <c:crossAx val="162829824"/>
        <c:crosses val="autoZero"/>
        <c:crossBetween val="between"/>
      </c:valAx>
    </c:plotArea>
    <c:legend>
      <c:legendPos val="r"/>
      <c:layout>
        <c:manualLayout>
          <c:xMode val="edge"/>
          <c:yMode val="edge"/>
          <c:x val="0.79305555555555562"/>
          <c:y val="0.40277777777777923"/>
          <c:w val="0.18819444444444558"/>
          <c:h val="0.3564814814814829"/>
        </c:manualLayout>
      </c:layout>
      <c:txPr>
        <a:bodyPr/>
        <a:lstStyle/>
        <a:p>
          <a:pPr>
            <a:defRPr lang="cs-CZ"/>
          </a:pPr>
          <a:endParaRPr lang="de-DE"/>
        </a:p>
      </c:txPr>
    </c:legend>
    <c:plotVisOnly val="1"/>
    <c:dispBlanksAs val="zero"/>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de-AT"/>
  <c:chart>
    <c:title>
      <c:tx>
        <c:rich>
          <a:bodyPr/>
          <a:lstStyle/>
          <a:p>
            <a:pPr>
              <a:defRPr lang="cs-CZ" sz="1200"/>
            </a:pPr>
            <a:r>
              <a:rPr lang="cs-CZ" sz="1200"/>
              <a:t>P</a:t>
            </a:r>
            <a:r>
              <a:rPr lang="en-US" sz="1200"/>
              <a:t>rice of bread (CZK/k</a:t>
            </a:r>
            <a:r>
              <a:rPr lang="cs-CZ" sz="1200"/>
              <a:t>g</a:t>
            </a:r>
            <a:r>
              <a:rPr lang="en-US" sz="1200"/>
              <a:t>)</a:t>
            </a:r>
          </a:p>
        </c:rich>
      </c:tx>
      <c:layout>
        <c:manualLayout>
          <c:xMode val="edge"/>
          <c:yMode val="edge"/>
          <c:x val="0.31084711286089367"/>
          <c:y val="3.7037037037037056E-2"/>
        </c:manualLayout>
      </c:layout>
      <c:spPr>
        <a:noFill/>
        <a:ln w="25400">
          <a:noFill/>
        </a:ln>
      </c:spPr>
    </c:title>
    <c:plotArea>
      <c:layout>
        <c:manualLayout>
          <c:layoutTarget val="inner"/>
          <c:xMode val="edge"/>
          <c:yMode val="edge"/>
          <c:x val="8.4488407699037621E-2"/>
          <c:y val="0.19480351414406533"/>
          <c:w val="0.69884164479440358"/>
          <c:h val="0.64556284631088023"/>
        </c:manualLayout>
      </c:layout>
      <c:lineChart>
        <c:grouping val="standard"/>
        <c:ser>
          <c:idx val="0"/>
          <c:order val="0"/>
          <c:tx>
            <c:strRef>
              <c:f>List1!$B$2</c:f>
              <c:strCache>
                <c:ptCount val="1"/>
                <c:pt idx="0">
                  <c:v>price of bread (CZK/kg)</c:v>
                </c:pt>
              </c:strCache>
            </c:strRef>
          </c:tx>
          <c:marker>
            <c:symbol val="none"/>
          </c:marker>
          <c:cat>
            <c:numRef>
              <c:f>List1!$A$3:$A$20</c:f>
              <c:numCache>
                <c:formatCode>General</c:formatCode>
                <c:ptCount val="18"/>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numCache>
            </c:numRef>
          </c:cat>
          <c:val>
            <c:numRef>
              <c:f>List1!$B$3:$B$20</c:f>
              <c:numCache>
                <c:formatCode>General</c:formatCode>
                <c:ptCount val="18"/>
                <c:pt idx="0">
                  <c:v>7.6899999999999995</c:v>
                </c:pt>
                <c:pt idx="1">
                  <c:v>9.6</c:v>
                </c:pt>
                <c:pt idx="2">
                  <c:v>10.220000000000001</c:v>
                </c:pt>
                <c:pt idx="3">
                  <c:v>11.29</c:v>
                </c:pt>
                <c:pt idx="4">
                  <c:v>15.74</c:v>
                </c:pt>
                <c:pt idx="5">
                  <c:v>16.2</c:v>
                </c:pt>
                <c:pt idx="6">
                  <c:v>15.82</c:v>
                </c:pt>
                <c:pt idx="7">
                  <c:v>14.54</c:v>
                </c:pt>
                <c:pt idx="8">
                  <c:v>14.8</c:v>
                </c:pt>
                <c:pt idx="9">
                  <c:v>14.71</c:v>
                </c:pt>
                <c:pt idx="10">
                  <c:v>14.46</c:v>
                </c:pt>
                <c:pt idx="11">
                  <c:v>15.56</c:v>
                </c:pt>
                <c:pt idx="12">
                  <c:v>15.25</c:v>
                </c:pt>
                <c:pt idx="13">
                  <c:v>15.06</c:v>
                </c:pt>
                <c:pt idx="14">
                  <c:v>17</c:v>
                </c:pt>
                <c:pt idx="15">
                  <c:v>23.2</c:v>
                </c:pt>
                <c:pt idx="16">
                  <c:v>22.67</c:v>
                </c:pt>
                <c:pt idx="17">
                  <c:v>18.77</c:v>
                </c:pt>
              </c:numCache>
            </c:numRef>
          </c:val>
        </c:ser>
        <c:marker val="1"/>
        <c:axId val="161685504"/>
        <c:axId val="161687040"/>
      </c:lineChart>
      <c:catAx>
        <c:axId val="161685504"/>
        <c:scaling>
          <c:orientation val="minMax"/>
        </c:scaling>
        <c:axPos val="b"/>
        <c:numFmt formatCode="General" sourceLinked="1"/>
        <c:tickLblPos val="nextTo"/>
        <c:txPr>
          <a:bodyPr/>
          <a:lstStyle/>
          <a:p>
            <a:pPr>
              <a:defRPr lang="cs-CZ"/>
            </a:pPr>
            <a:endParaRPr lang="de-DE"/>
          </a:p>
        </c:txPr>
        <c:crossAx val="161687040"/>
        <c:crosses val="autoZero"/>
        <c:auto val="1"/>
        <c:lblAlgn val="ctr"/>
        <c:lblOffset val="100"/>
      </c:catAx>
      <c:valAx>
        <c:axId val="161687040"/>
        <c:scaling>
          <c:orientation val="minMax"/>
          <c:min val="5"/>
        </c:scaling>
        <c:axPos val="l"/>
        <c:majorGridlines/>
        <c:numFmt formatCode="General" sourceLinked="1"/>
        <c:tickLblPos val="nextTo"/>
        <c:txPr>
          <a:bodyPr/>
          <a:lstStyle/>
          <a:p>
            <a:pPr>
              <a:defRPr lang="cs-CZ"/>
            </a:pPr>
            <a:endParaRPr lang="de-DE"/>
          </a:p>
        </c:txPr>
        <c:crossAx val="161685504"/>
        <c:crosses val="autoZero"/>
        <c:crossBetween val="between"/>
      </c:valAx>
    </c:plotArea>
    <c:legend>
      <c:legendPos val="r"/>
      <c:layout>
        <c:manualLayout>
          <c:xMode val="edge"/>
          <c:yMode val="edge"/>
          <c:x val="0.81666666666666654"/>
          <c:y val="0.39351851851851882"/>
          <c:w val="0.16458333333333341"/>
          <c:h val="0.24537037037037041"/>
        </c:manualLayout>
      </c:layout>
      <c:txPr>
        <a:bodyPr/>
        <a:lstStyle/>
        <a:p>
          <a:pPr>
            <a:defRPr lang="cs-CZ"/>
          </a:pPr>
          <a:endParaRPr lang="de-DE"/>
        </a:p>
      </c:txPr>
    </c:legend>
    <c:plotVisOnly val="1"/>
    <c:dispBlanksAs val="gap"/>
  </c:chart>
  <c:txPr>
    <a:bodyPr/>
    <a:lstStyle/>
    <a:p>
      <a:pPr>
        <a:defRPr sz="900"/>
      </a:pPr>
      <a:endParaRPr lang="de-DE"/>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de-AT"/>
  <c:chart>
    <c:title>
      <c:tx>
        <c:rich>
          <a:bodyPr/>
          <a:lstStyle/>
          <a:p>
            <a:pPr>
              <a:defRPr lang="cs-CZ"/>
            </a:pPr>
            <a:r>
              <a:rPr lang="en-US"/>
              <a:t>Austria</a:t>
            </a:r>
            <a:r>
              <a:rPr lang="en-US" baseline="0"/>
              <a:t> </a:t>
            </a:r>
            <a:r>
              <a:rPr lang="en-US"/>
              <a:t>biodiesel production (in t) </a:t>
            </a:r>
          </a:p>
        </c:rich>
      </c:tx>
    </c:title>
    <c:plotArea>
      <c:layout>
        <c:manualLayout>
          <c:layoutTarget val="inner"/>
          <c:xMode val="edge"/>
          <c:yMode val="edge"/>
          <c:x val="0.15450277686842828"/>
          <c:y val="0.18098549725080063"/>
          <c:w val="0.60231706266475993"/>
          <c:h val="0.6609567599670475"/>
        </c:manualLayout>
      </c:layout>
      <c:lineChart>
        <c:grouping val="standard"/>
        <c:ser>
          <c:idx val="0"/>
          <c:order val="0"/>
          <c:tx>
            <c:strRef>
              <c:f>List2!$E$1</c:f>
              <c:strCache>
                <c:ptCount val="1"/>
                <c:pt idx="0">
                  <c:v>AUbiodiesel production in t estimation</c:v>
                </c:pt>
              </c:strCache>
            </c:strRef>
          </c:tx>
          <c:marker>
            <c:symbol val="none"/>
          </c:marker>
          <c:cat>
            <c:numRef>
              <c:f>List2!$A$2:$A$8</c:f>
              <c:numCache>
                <c:formatCode>General</c:formatCode>
                <c:ptCount val="7"/>
                <c:pt idx="0">
                  <c:v>2003</c:v>
                </c:pt>
                <c:pt idx="1">
                  <c:v>2004</c:v>
                </c:pt>
                <c:pt idx="2">
                  <c:v>2005</c:v>
                </c:pt>
                <c:pt idx="3">
                  <c:v>2006</c:v>
                </c:pt>
                <c:pt idx="4">
                  <c:v>2007</c:v>
                </c:pt>
                <c:pt idx="5">
                  <c:v>2008</c:v>
                </c:pt>
                <c:pt idx="6">
                  <c:v>2009</c:v>
                </c:pt>
              </c:numCache>
            </c:numRef>
          </c:cat>
          <c:val>
            <c:numRef>
              <c:f>List2!$E$2:$E$8</c:f>
              <c:numCache>
                <c:formatCode>#,##0</c:formatCode>
                <c:ptCount val="7"/>
                <c:pt idx="0">
                  <c:v>55000</c:v>
                </c:pt>
                <c:pt idx="1">
                  <c:v>55000</c:v>
                </c:pt>
                <c:pt idx="2">
                  <c:v>70000</c:v>
                </c:pt>
                <c:pt idx="3" formatCode="General">
                  <c:v>121665</c:v>
                </c:pt>
                <c:pt idx="4" formatCode="General">
                  <c:v>241381</c:v>
                </c:pt>
                <c:pt idx="5" formatCode="General">
                  <c:v>231586</c:v>
                </c:pt>
                <c:pt idx="6" formatCode="General">
                  <c:v>323147</c:v>
                </c:pt>
              </c:numCache>
            </c:numRef>
          </c:val>
        </c:ser>
        <c:marker val="1"/>
        <c:axId val="168675968"/>
        <c:axId val="168769408"/>
      </c:lineChart>
      <c:catAx>
        <c:axId val="168675968"/>
        <c:scaling>
          <c:orientation val="minMax"/>
        </c:scaling>
        <c:axPos val="b"/>
        <c:numFmt formatCode="General" sourceLinked="1"/>
        <c:tickLblPos val="nextTo"/>
        <c:txPr>
          <a:bodyPr/>
          <a:lstStyle/>
          <a:p>
            <a:pPr>
              <a:defRPr lang="cs-CZ"/>
            </a:pPr>
            <a:endParaRPr lang="de-DE"/>
          </a:p>
        </c:txPr>
        <c:crossAx val="168769408"/>
        <c:crosses val="autoZero"/>
        <c:auto val="1"/>
        <c:lblAlgn val="ctr"/>
        <c:lblOffset val="100"/>
      </c:catAx>
      <c:valAx>
        <c:axId val="168769408"/>
        <c:scaling>
          <c:orientation val="minMax"/>
        </c:scaling>
        <c:axPos val="l"/>
        <c:majorGridlines/>
        <c:numFmt formatCode="#,##0" sourceLinked="1"/>
        <c:tickLblPos val="nextTo"/>
        <c:txPr>
          <a:bodyPr/>
          <a:lstStyle/>
          <a:p>
            <a:pPr>
              <a:defRPr lang="cs-CZ"/>
            </a:pPr>
            <a:endParaRPr lang="de-DE"/>
          </a:p>
        </c:txPr>
        <c:crossAx val="168675968"/>
        <c:crosses val="autoZero"/>
        <c:crossBetween val="between"/>
      </c:valAx>
    </c:plotArea>
    <c:legend>
      <c:legendPos val="r"/>
      <c:layout>
        <c:manualLayout>
          <c:xMode val="edge"/>
          <c:yMode val="edge"/>
          <c:x val="0.75390226112326753"/>
          <c:y val="0.36822690959250698"/>
          <c:w val="0.22859226841721439"/>
          <c:h val="0.29804739736000302"/>
        </c:manualLayout>
      </c:layout>
      <c:txPr>
        <a:bodyPr/>
        <a:lstStyle/>
        <a:p>
          <a:pPr>
            <a:defRPr lang="cs-CZ"/>
          </a:pPr>
          <a:endParaRPr lang="de-DE"/>
        </a:p>
      </c:txPr>
    </c:legend>
    <c:plotVisOnly val="1"/>
  </c:chart>
  <c:txPr>
    <a:bodyPr/>
    <a:lstStyle/>
    <a:p>
      <a:pPr>
        <a:defRPr sz="900"/>
      </a:pPr>
      <a:endParaRPr lang="de-DE"/>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de-AT"/>
  <c:chart>
    <c:title>
      <c:tx>
        <c:rich>
          <a:bodyPr/>
          <a:lstStyle/>
          <a:p>
            <a:pPr>
              <a:defRPr lang="cs-CZ"/>
            </a:pPr>
            <a:r>
              <a:rPr lang="cs-CZ" sz="1200"/>
              <a:t>Prices</a:t>
            </a:r>
            <a:r>
              <a:rPr lang="cs-CZ" sz="1200" baseline="0"/>
              <a:t> of bread roll, bread and wheat flour in Austria</a:t>
            </a:r>
            <a:endParaRPr lang="cs-CZ" sz="1200"/>
          </a:p>
        </c:rich>
      </c:tx>
    </c:title>
    <c:plotArea>
      <c:layout/>
      <c:lineChart>
        <c:grouping val="standard"/>
        <c:ser>
          <c:idx val="0"/>
          <c:order val="0"/>
          <c:tx>
            <c:strRef>
              <c:f>List2!$B$1</c:f>
              <c:strCache>
                <c:ptCount val="1"/>
                <c:pt idx="0">
                  <c:v>bread roll in EUR/piece</c:v>
                </c:pt>
              </c:strCache>
            </c:strRef>
          </c:tx>
          <c:marker>
            <c:symbol val="none"/>
          </c:marker>
          <c:cat>
            <c:numRef>
              <c:f>List2!$A$2:$A$8</c:f>
              <c:numCache>
                <c:formatCode>General</c:formatCode>
                <c:ptCount val="7"/>
                <c:pt idx="0">
                  <c:v>2003</c:v>
                </c:pt>
                <c:pt idx="1">
                  <c:v>2004</c:v>
                </c:pt>
                <c:pt idx="2">
                  <c:v>2005</c:v>
                </c:pt>
                <c:pt idx="3">
                  <c:v>2006</c:v>
                </c:pt>
                <c:pt idx="4">
                  <c:v>2007</c:v>
                </c:pt>
                <c:pt idx="5">
                  <c:v>2008</c:v>
                </c:pt>
                <c:pt idx="6">
                  <c:v>2009</c:v>
                </c:pt>
              </c:numCache>
            </c:numRef>
          </c:cat>
          <c:val>
            <c:numRef>
              <c:f>List2!$B$2:$B$8</c:f>
              <c:numCache>
                <c:formatCode>General</c:formatCode>
                <c:ptCount val="7"/>
                <c:pt idx="0">
                  <c:v>0.26</c:v>
                </c:pt>
                <c:pt idx="1">
                  <c:v>0.27</c:v>
                </c:pt>
                <c:pt idx="2">
                  <c:v>0.27</c:v>
                </c:pt>
                <c:pt idx="3">
                  <c:v>0.22</c:v>
                </c:pt>
                <c:pt idx="4">
                  <c:v>0.24000000000000021</c:v>
                </c:pt>
                <c:pt idx="5">
                  <c:v>0.25</c:v>
                </c:pt>
                <c:pt idx="6">
                  <c:v>0.26</c:v>
                </c:pt>
              </c:numCache>
            </c:numRef>
          </c:val>
        </c:ser>
        <c:ser>
          <c:idx val="1"/>
          <c:order val="1"/>
          <c:tx>
            <c:strRef>
              <c:f>List2!$C$1</c:f>
              <c:strCache>
                <c:ptCount val="1"/>
                <c:pt idx="0">
                  <c:v>bread in EUR/kg</c:v>
                </c:pt>
              </c:strCache>
            </c:strRef>
          </c:tx>
          <c:marker>
            <c:symbol val="none"/>
          </c:marker>
          <c:cat>
            <c:numRef>
              <c:f>List2!$A$2:$A$8</c:f>
              <c:numCache>
                <c:formatCode>General</c:formatCode>
                <c:ptCount val="7"/>
                <c:pt idx="0">
                  <c:v>2003</c:v>
                </c:pt>
                <c:pt idx="1">
                  <c:v>2004</c:v>
                </c:pt>
                <c:pt idx="2">
                  <c:v>2005</c:v>
                </c:pt>
                <c:pt idx="3">
                  <c:v>2006</c:v>
                </c:pt>
                <c:pt idx="4">
                  <c:v>2007</c:v>
                </c:pt>
                <c:pt idx="5">
                  <c:v>2008</c:v>
                </c:pt>
                <c:pt idx="6">
                  <c:v>2009</c:v>
                </c:pt>
              </c:numCache>
            </c:numRef>
          </c:cat>
          <c:val>
            <c:numRef>
              <c:f>List2!$C$2:$C$8</c:f>
              <c:numCache>
                <c:formatCode>General</c:formatCode>
                <c:ptCount val="7"/>
                <c:pt idx="0">
                  <c:v>2.1800000000000002</c:v>
                </c:pt>
                <c:pt idx="1">
                  <c:v>2.2799999999999998</c:v>
                </c:pt>
                <c:pt idx="2">
                  <c:v>2.3099999999999987</c:v>
                </c:pt>
                <c:pt idx="3">
                  <c:v>2.3699999999999997</c:v>
                </c:pt>
                <c:pt idx="4">
                  <c:v>2.48</c:v>
                </c:pt>
                <c:pt idx="5">
                  <c:v>2.66</c:v>
                </c:pt>
                <c:pt idx="6">
                  <c:v>2.68</c:v>
                </c:pt>
              </c:numCache>
            </c:numRef>
          </c:val>
        </c:ser>
        <c:ser>
          <c:idx val="2"/>
          <c:order val="2"/>
          <c:tx>
            <c:strRef>
              <c:f>List2!$D$1</c:f>
              <c:strCache>
                <c:ptCount val="1"/>
                <c:pt idx="0">
                  <c:v>wheat flour in EUR/kg</c:v>
                </c:pt>
              </c:strCache>
            </c:strRef>
          </c:tx>
          <c:marker>
            <c:symbol val="none"/>
          </c:marker>
          <c:cat>
            <c:numRef>
              <c:f>List2!$A$2:$A$8</c:f>
              <c:numCache>
                <c:formatCode>General</c:formatCode>
                <c:ptCount val="7"/>
                <c:pt idx="0">
                  <c:v>2003</c:v>
                </c:pt>
                <c:pt idx="1">
                  <c:v>2004</c:v>
                </c:pt>
                <c:pt idx="2">
                  <c:v>2005</c:v>
                </c:pt>
                <c:pt idx="3">
                  <c:v>2006</c:v>
                </c:pt>
                <c:pt idx="4">
                  <c:v>2007</c:v>
                </c:pt>
                <c:pt idx="5">
                  <c:v>2008</c:v>
                </c:pt>
                <c:pt idx="6">
                  <c:v>2009</c:v>
                </c:pt>
              </c:numCache>
            </c:numRef>
          </c:cat>
          <c:val>
            <c:numRef>
              <c:f>List2!$D$2:$D$8</c:f>
              <c:numCache>
                <c:formatCode>General</c:formatCode>
                <c:ptCount val="7"/>
                <c:pt idx="0">
                  <c:v>0.77000000000000224</c:v>
                </c:pt>
                <c:pt idx="1">
                  <c:v>0.84000000000000064</c:v>
                </c:pt>
                <c:pt idx="2">
                  <c:v>0.85000000000000064</c:v>
                </c:pt>
                <c:pt idx="3">
                  <c:v>0.84000000000000064</c:v>
                </c:pt>
                <c:pt idx="4">
                  <c:v>0.88</c:v>
                </c:pt>
                <c:pt idx="5">
                  <c:v>0.99</c:v>
                </c:pt>
                <c:pt idx="6">
                  <c:v>0.98</c:v>
                </c:pt>
              </c:numCache>
            </c:numRef>
          </c:val>
        </c:ser>
        <c:marker val="1"/>
        <c:axId val="158790016"/>
        <c:axId val="158791552"/>
      </c:lineChart>
      <c:catAx>
        <c:axId val="158790016"/>
        <c:scaling>
          <c:orientation val="minMax"/>
        </c:scaling>
        <c:axPos val="b"/>
        <c:numFmt formatCode="General" sourceLinked="1"/>
        <c:majorTickMark val="none"/>
        <c:tickLblPos val="nextTo"/>
        <c:txPr>
          <a:bodyPr/>
          <a:lstStyle/>
          <a:p>
            <a:pPr>
              <a:defRPr lang="cs-CZ"/>
            </a:pPr>
            <a:endParaRPr lang="de-DE"/>
          </a:p>
        </c:txPr>
        <c:crossAx val="158791552"/>
        <c:crosses val="autoZero"/>
        <c:auto val="1"/>
        <c:lblAlgn val="ctr"/>
        <c:lblOffset val="100"/>
      </c:catAx>
      <c:valAx>
        <c:axId val="158791552"/>
        <c:scaling>
          <c:orientation val="minMax"/>
        </c:scaling>
        <c:axPos val="l"/>
        <c:majorGridlines/>
        <c:numFmt formatCode="General" sourceLinked="1"/>
        <c:majorTickMark val="none"/>
        <c:tickLblPos val="nextTo"/>
        <c:txPr>
          <a:bodyPr/>
          <a:lstStyle/>
          <a:p>
            <a:pPr>
              <a:defRPr lang="cs-CZ"/>
            </a:pPr>
            <a:endParaRPr lang="de-DE"/>
          </a:p>
        </c:txPr>
        <c:crossAx val="158790016"/>
        <c:crosses val="autoZero"/>
        <c:crossBetween val="between"/>
      </c:valAx>
    </c:plotArea>
    <c:legend>
      <c:legendPos val="r"/>
      <c:txPr>
        <a:bodyPr/>
        <a:lstStyle/>
        <a:p>
          <a:pPr>
            <a:defRPr lang="cs-CZ"/>
          </a:pPr>
          <a:endParaRPr lang="de-DE"/>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de-AT"/>
  <c:chart>
    <c:title>
      <c:tx>
        <c:rich>
          <a:bodyPr/>
          <a:lstStyle/>
          <a:p>
            <a:pPr>
              <a:defRPr lang="cs-CZ"/>
            </a:pPr>
            <a:r>
              <a:rPr lang="cs-CZ" sz="1200"/>
              <a:t>Sewing areas in CR in ha for</a:t>
            </a:r>
            <a:r>
              <a:rPr lang="cs-CZ" sz="1200" baseline="0"/>
              <a:t> typical biofuels plants</a:t>
            </a:r>
            <a:endParaRPr lang="cs-CZ" sz="1200"/>
          </a:p>
        </c:rich>
      </c:tx>
      <c:layout>
        <c:manualLayout>
          <c:xMode val="edge"/>
          <c:yMode val="edge"/>
          <c:x val="0.14868044619422663"/>
          <c:y val="1.388888888888897E-2"/>
        </c:manualLayout>
      </c:layout>
    </c:title>
    <c:plotArea>
      <c:layout>
        <c:manualLayout>
          <c:layoutTarget val="inner"/>
          <c:xMode val="edge"/>
          <c:yMode val="edge"/>
          <c:x val="0.14709951881014874"/>
          <c:y val="0.16089129483814524"/>
          <c:w val="0.5946587926509187"/>
          <c:h val="0.63889508603091583"/>
        </c:manualLayout>
      </c:layout>
      <c:lineChart>
        <c:grouping val="stacked"/>
        <c:ser>
          <c:idx val="0"/>
          <c:order val="0"/>
          <c:tx>
            <c:strRef>
              <c:f>List1!$B$24</c:f>
              <c:strCache>
                <c:ptCount val="1"/>
                <c:pt idx="0">
                  <c:v>industrial sugar beet</c:v>
                </c:pt>
              </c:strCache>
            </c:strRef>
          </c:tx>
          <c:marker>
            <c:symbol val="none"/>
          </c:marker>
          <c:cat>
            <c:numRef>
              <c:f>List1!$A$25:$A$43</c:f>
              <c:numCache>
                <c:formatCode>General</c:formatCode>
                <c:ptCount val="19"/>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numCache>
            </c:numRef>
          </c:cat>
          <c:val>
            <c:numRef>
              <c:f>List1!$B$25:$B$43</c:f>
              <c:numCache>
                <c:formatCode>#,##0</c:formatCode>
                <c:ptCount val="19"/>
                <c:pt idx="0">
                  <c:v>124536</c:v>
                </c:pt>
                <c:pt idx="1">
                  <c:v>107243</c:v>
                </c:pt>
                <c:pt idx="2">
                  <c:v>91205</c:v>
                </c:pt>
                <c:pt idx="3">
                  <c:v>93654</c:v>
                </c:pt>
                <c:pt idx="4">
                  <c:v>104115</c:v>
                </c:pt>
                <c:pt idx="5">
                  <c:v>94498</c:v>
                </c:pt>
                <c:pt idx="6">
                  <c:v>85471</c:v>
                </c:pt>
                <c:pt idx="7">
                  <c:v>59078</c:v>
                </c:pt>
                <c:pt idx="8">
                  <c:v>61574</c:v>
                </c:pt>
                <c:pt idx="9">
                  <c:v>77849</c:v>
                </c:pt>
                <c:pt idx="10">
                  <c:v>77498</c:v>
                </c:pt>
                <c:pt idx="11">
                  <c:v>77326</c:v>
                </c:pt>
                <c:pt idx="12">
                  <c:v>71095</c:v>
                </c:pt>
                <c:pt idx="13">
                  <c:v>65570</c:v>
                </c:pt>
                <c:pt idx="14">
                  <c:v>60959</c:v>
                </c:pt>
                <c:pt idx="15">
                  <c:v>54272</c:v>
                </c:pt>
                <c:pt idx="16">
                  <c:v>50380</c:v>
                </c:pt>
                <c:pt idx="17">
                  <c:v>52465</c:v>
                </c:pt>
                <c:pt idx="18">
                  <c:v>56388</c:v>
                </c:pt>
              </c:numCache>
            </c:numRef>
          </c:val>
        </c:ser>
        <c:ser>
          <c:idx val="1"/>
          <c:order val="1"/>
          <c:tx>
            <c:strRef>
              <c:f>List1!$C$24</c:f>
              <c:strCache>
                <c:ptCount val="1"/>
                <c:pt idx="0">
                  <c:v>rape (since1993 including rapeseed)</c:v>
                </c:pt>
              </c:strCache>
            </c:strRef>
          </c:tx>
          <c:marker>
            <c:symbol val="none"/>
          </c:marker>
          <c:cat>
            <c:numRef>
              <c:f>List1!$A$25:$A$43</c:f>
              <c:numCache>
                <c:formatCode>General</c:formatCode>
                <c:ptCount val="19"/>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numCache>
            </c:numRef>
          </c:cat>
          <c:val>
            <c:numRef>
              <c:f>List1!$C$25:$C$43</c:f>
              <c:numCache>
                <c:formatCode>#,##0</c:formatCode>
                <c:ptCount val="19"/>
                <c:pt idx="0">
                  <c:v>136473</c:v>
                </c:pt>
                <c:pt idx="1">
                  <c:v>167423</c:v>
                </c:pt>
                <c:pt idx="2">
                  <c:v>190721</c:v>
                </c:pt>
                <c:pt idx="3">
                  <c:v>252285</c:v>
                </c:pt>
                <c:pt idx="4">
                  <c:v>228775</c:v>
                </c:pt>
                <c:pt idx="5">
                  <c:v>229767</c:v>
                </c:pt>
                <c:pt idx="6">
                  <c:v>265560</c:v>
                </c:pt>
                <c:pt idx="7">
                  <c:v>350353</c:v>
                </c:pt>
                <c:pt idx="8">
                  <c:v>325338</c:v>
                </c:pt>
                <c:pt idx="9">
                  <c:v>344117</c:v>
                </c:pt>
                <c:pt idx="10">
                  <c:v>313024</c:v>
                </c:pt>
                <c:pt idx="11">
                  <c:v>250959</c:v>
                </c:pt>
                <c:pt idx="12">
                  <c:v>259460</c:v>
                </c:pt>
                <c:pt idx="13">
                  <c:v>267160</c:v>
                </c:pt>
                <c:pt idx="14">
                  <c:v>292246</c:v>
                </c:pt>
                <c:pt idx="15">
                  <c:v>337570</c:v>
                </c:pt>
                <c:pt idx="16">
                  <c:v>356924</c:v>
                </c:pt>
                <c:pt idx="17">
                  <c:v>354826</c:v>
                </c:pt>
                <c:pt idx="18">
                  <c:v>368824</c:v>
                </c:pt>
              </c:numCache>
            </c:numRef>
          </c:val>
        </c:ser>
        <c:marker val="1"/>
        <c:axId val="160413952"/>
        <c:axId val="160415744"/>
      </c:lineChart>
      <c:catAx>
        <c:axId val="160413952"/>
        <c:scaling>
          <c:orientation val="minMax"/>
        </c:scaling>
        <c:axPos val="b"/>
        <c:numFmt formatCode="General" sourceLinked="1"/>
        <c:majorTickMark val="none"/>
        <c:tickLblPos val="nextTo"/>
        <c:txPr>
          <a:bodyPr/>
          <a:lstStyle/>
          <a:p>
            <a:pPr>
              <a:defRPr lang="cs-CZ" sz="900"/>
            </a:pPr>
            <a:endParaRPr lang="de-DE"/>
          </a:p>
        </c:txPr>
        <c:crossAx val="160415744"/>
        <c:crosses val="autoZero"/>
        <c:auto val="1"/>
        <c:lblAlgn val="ctr"/>
        <c:lblOffset val="100"/>
      </c:catAx>
      <c:valAx>
        <c:axId val="160415744"/>
        <c:scaling>
          <c:orientation val="minMax"/>
        </c:scaling>
        <c:axPos val="l"/>
        <c:majorGridlines/>
        <c:numFmt formatCode="#,##0" sourceLinked="1"/>
        <c:majorTickMark val="none"/>
        <c:tickLblPos val="nextTo"/>
        <c:txPr>
          <a:bodyPr/>
          <a:lstStyle/>
          <a:p>
            <a:pPr>
              <a:defRPr lang="cs-CZ" sz="900"/>
            </a:pPr>
            <a:endParaRPr lang="de-DE"/>
          </a:p>
        </c:txPr>
        <c:crossAx val="160413952"/>
        <c:crosses val="autoZero"/>
        <c:crossBetween val="between"/>
      </c:valAx>
    </c:plotArea>
    <c:legend>
      <c:legendPos val="r"/>
      <c:layout>
        <c:manualLayout>
          <c:xMode val="edge"/>
          <c:yMode val="edge"/>
          <c:x val="0.74887489063867629"/>
          <c:y val="0.30397747156605598"/>
          <c:w val="0.23445844269466398"/>
          <c:h val="0.49227617381160893"/>
        </c:manualLayout>
      </c:layout>
      <c:txPr>
        <a:bodyPr/>
        <a:lstStyle/>
        <a:p>
          <a:pPr>
            <a:defRPr lang="cs-CZ"/>
          </a:pPr>
          <a:endParaRPr lang="de-DE"/>
        </a:p>
      </c:txPr>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de-AT"/>
  <c:chart>
    <c:title>
      <c:tx>
        <c:rich>
          <a:bodyPr/>
          <a:lstStyle/>
          <a:p>
            <a:pPr>
              <a:defRPr lang="cs-CZ"/>
            </a:pPr>
            <a:r>
              <a:rPr lang="cs-CZ" sz="1200"/>
              <a:t>Yield per</a:t>
            </a:r>
            <a:r>
              <a:rPr lang="cs-CZ" sz="1200" baseline="0"/>
              <a:t> ha for typical biofuels plants</a:t>
            </a:r>
            <a:endParaRPr lang="cs-CZ" sz="1200"/>
          </a:p>
        </c:rich>
      </c:tx>
    </c:title>
    <c:plotArea>
      <c:layout>
        <c:manualLayout>
          <c:layoutTarget val="inner"/>
          <c:xMode val="edge"/>
          <c:yMode val="edge"/>
          <c:x val="8.6342611976247319E-2"/>
          <c:y val="0.15765273002846494"/>
          <c:w val="0.6647380055194676"/>
          <c:h val="0.69995282983993157"/>
        </c:manualLayout>
      </c:layout>
      <c:lineChart>
        <c:grouping val="standard"/>
        <c:ser>
          <c:idx val="0"/>
          <c:order val="0"/>
          <c:tx>
            <c:strRef>
              <c:f>'annual data'!$X$4</c:f>
              <c:strCache>
                <c:ptCount val="1"/>
                <c:pt idx="0">
                  <c:v>industrial sugar beet</c:v>
                </c:pt>
              </c:strCache>
            </c:strRef>
          </c:tx>
          <c:marker>
            <c:symbol val="none"/>
          </c:marker>
          <c:cat>
            <c:numRef>
              <c:f>'annual data'!$W$5:$W$22</c:f>
              <c:numCache>
                <c:formatCode>General</c:formatCode>
                <c:ptCount val="18"/>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numCache>
            </c:numRef>
          </c:cat>
          <c:val>
            <c:numRef>
              <c:f>'annual data'!$X$5:$X$22</c:f>
              <c:numCache>
                <c:formatCode>0.00</c:formatCode>
                <c:ptCount val="18"/>
                <c:pt idx="0">
                  <c:v>31.110345602877885</c:v>
                </c:pt>
                <c:pt idx="1">
                  <c:v>40.186744123159556</c:v>
                </c:pt>
                <c:pt idx="2">
                  <c:v>35.525727756153763</c:v>
                </c:pt>
                <c:pt idx="3">
                  <c:v>39.631003480897775</c:v>
                </c:pt>
                <c:pt idx="4">
                  <c:v>41.449992796427033</c:v>
                </c:pt>
                <c:pt idx="5">
                  <c:v>39.386865330483175</c:v>
                </c:pt>
                <c:pt idx="6">
                  <c:v>40.708848615319816</c:v>
                </c:pt>
                <c:pt idx="7">
                  <c:v>45.549070720065011</c:v>
                </c:pt>
                <c:pt idx="8">
                  <c:v>45.617289765160365</c:v>
                </c:pt>
                <c:pt idx="9">
                  <c:v>45.332053077110814</c:v>
                </c:pt>
                <c:pt idx="10">
                  <c:v>49.452450385816263</c:v>
                </c:pt>
                <c:pt idx="11">
                  <c:v>45.200165532938513</c:v>
                </c:pt>
                <c:pt idx="12">
                  <c:v>50.34500316477952</c:v>
                </c:pt>
                <c:pt idx="13">
                  <c:v>53.311133140155562</c:v>
                </c:pt>
                <c:pt idx="14">
                  <c:v>51.482570252136675</c:v>
                </c:pt>
                <c:pt idx="15">
                  <c:v>53.247917895047145</c:v>
                </c:pt>
                <c:pt idx="16">
                  <c:v>57.257741167129815</c:v>
                </c:pt>
                <c:pt idx="17">
                  <c:v>57.90946345182487</c:v>
                </c:pt>
              </c:numCache>
            </c:numRef>
          </c:val>
        </c:ser>
        <c:ser>
          <c:idx val="1"/>
          <c:order val="1"/>
          <c:tx>
            <c:strRef>
              <c:f>'annual data'!$Y$4</c:f>
              <c:strCache>
                <c:ptCount val="1"/>
                <c:pt idx="0">
                  <c:v>rape (since1993 including rapeseed)</c:v>
                </c:pt>
              </c:strCache>
            </c:strRef>
          </c:tx>
          <c:marker>
            <c:symbol val="none"/>
          </c:marker>
          <c:cat>
            <c:numRef>
              <c:f>'annual data'!$W$5:$W$22</c:f>
              <c:numCache>
                <c:formatCode>General</c:formatCode>
                <c:ptCount val="18"/>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numCache>
            </c:numRef>
          </c:cat>
          <c:val>
            <c:numRef>
              <c:f>'annual data'!$Y$5:$Y$22</c:f>
              <c:numCache>
                <c:formatCode>0.00</c:formatCode>
                <c:ptCount val="18"/>
                <c:pt idx="0">
                  <c:v>2.1464978420640062</c:v>
                </c:pt>
                <c:pt idx="1">
                  <c:v>2.2531731004700672</c:v>
                </c:pt>
                <c:pt idx="2">
                  <c:v>2.3680035234714585</c:v>
                </c:pt>
                <c:pt idx="3">
                  <c:v>2.6247141130071152</c:v>
                </c:pt>
                <c:pt idx="4">
                  <c:v>2.2754759042727573</c:v>
                </c:pt>
                <c:pt idx="5">
                  <c:v>2.4394669382461363</c:v>
                </c:pt>
                <c:pt idx="6">
                  <c:v>2.5614399758999848</c:v>
                </c:pt>
                <c:pt idx="7">
                  <c:v>2.6574711790679686</c:v>
                </c:pt>
                <c:pt idx="8">
                  <c:v>2.5955406377367538</c:v>
                </c:pt>
                <c:pt idx="9">
                  <c:v>2.8284595065050548</c:v>
                </c:pt>
                <c:pt idx="10">
                  <c:v>2.2667047894091192</c:v>
                </c:pt>
                <c:pt idx="11">
                  <c:v>1.5452922588948741</c:v>
                </c:pt>
                <c:pt idx="12">
                  <c:v>3.6023818700377803</c:v>
                </c:pt>
                <c:pt idx="13">
                  <c:v>2.8798360533013931</c:v>
                </c:pt>
                <c:pt idx="14">
                  <c:v>3.0117503746843397</c:v>
                </c:pt>
                <c:pt idx="15">
                  <c:v>3.0569067156441627</c:v>
                </c:pt>
                <c:pt idx="16">
                  <c:v>2.9388413219620984</c:v>
                </c:pt>
                <c:pt idx="17">
                  <c:v>3.1793583333802951</c:v>
                </c:pt>
              </c:numCache>
            </c:numRef>
          </c:val>
        </c:ser>
        <c:marker val="1"/>
        <c:axId val="160432512"/>
        <c:axId val="160434048"/>
      </c:lineChart>
      <c:catAx>
        <c:axId val="160432512"/>
        <c:scaling>
          <c:orientation val="minMax"/>
        </c:scaling>
        <c:axPos val="b"/>
        <c:numFmt formatCode="General" sourceLinked="1"/>
        <c:majorTickMark val="none"/>
        <c:tickLblPos val="nextTo"/>
        <c:txPr>
          <a:bodyPr/>
          <a:lstStyle/>
          <a:p>
            <a:pPr>
              <a:defRPr lang="cs-CZ" sz="800"/>
            </a:pPr>
            <a:endParaRPr lang="de-DE"/>
          </a:p>
        </c:txPr>
        <c:crossAx val="160434048"/>
        <c:crosses val="autoZero"/>
        <c:auto val="1"/>
        <c:lblAlgn val="ctr"/>
        <c:lblOffset val="100"/>
      </c:catAx>
      <c:valAx>
        <c:axId val="160434048"/>
        <c:scaling>
          <c:orientation val="minMax"/>
          <c:max val="60"/>
          <c:min val="0"/>
        </c:scaling>
        <c:axPos val="l"/>
        <c:majorGridlines/>
        <c:numFmt formatCode="0.00" sourceLinked="1"/>
        <c:majorTickMark val="none"/>
        <c:tickLblPos val="nextTo"/>
        <c:txPr>
          <a:bodyPr/>
          <a:lstStyle/>
          <a:p>
            <a:pPr>
              <a:defRPr lang="cs-CZ" sz="800"/>
            </a:pPr>
            <a:endParaRPr lang="de-DE"/>
          </a:p>
        </c:txPr>
        <c:crossAx val="160432512"/>
        <c:crosses val="autoZero"/>
        <c:crossBetween val="between"/>
      </c:valAx>
    </c:plotArea>
    <c:legend>
      <c:legendPos val="r"/>
      <c:layout>
        <c:manualLayout>
          <c:xMode val="edge"/>
          <c:yMode val="edge"/>
          <c:x val="0.78309891366495377"/>
          <c:y val="0.30214720343055712"/>
          <c:w val="0.2031789594053745"/>
          <c:h val="0.36932076448190665"/>
        </c:manualLayout>
      </c:layout>
      <c:txPr>
        <a:bodyPr/>
        <a:lstStyle/>
        <a:p>
          <a:pPr>
            <a:defRPr lang="cs-CZ"/>
          </a:pPr>
          <a:endParaRPr lang="de-DE"/>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de-AT"/>
  <c:chart>
    <c:title>
      <c:tx>
        <c:rich>
          <a:bodyPr/>
          <a:lstStyle/>
          <a:p>
            <a:pPr>
              <a:defRPr lang="cs-CZ"/>
            </a:pPr>
            <a:r>
              <a:rPr lang="cs-CZ" sz="1200"/>
              <a:t>CZ FAME home production and gross consumption in t</a:t>
            </a:r>
          </a:p>
        </c:rich>
      </c:tx>
      <c:layout>
        <c:manualLayout>
          <c:xMode val="edge"/>
          <c:yMode val="edge"/>
          <c:x val="0.26034712950600775"/>
          <c:y val="3.2719825863540955E-2"/>
        </c:manualLayout>
      </c:layout>
    </c:title>
    <c:plotArea>
      <c:layout/>
      <c:lineChart>
        <c:grouping val="standard"/>
        <c:ser>
          <c:idx val="0"/>
          <c:order val="0"/>
          <c:tx>
            <c:strRef>
              <c:f>'annual data'!$G$4</c:f>
              <c:strCache>
                <c:ptCount val="1"/>
                <c:pt idx="0">
                  <c:v>home production</c:v>
                </c:pt>
              </c:strCache>
            </c:strRef>
          </c:tx>
          <c:marker>
            <c:symbol val="none"/>
          </c:marker>
          <c:cat>
            <c:numRef>
              <c:f>'annual data'!$F$5:$F$23</c:f>
              <c:numCache>
                <c:formatCode>General</c:formatCode>
                <c:ptCount val="19"/>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numCache>
            </c:numRef>
          </c:cat>
          <c:val>
            <c:numRef>
              <c:f>'annual data'!$G$5:$G$23</c:f>
              <c:numCache>
                <c:formatCode>General</c:formatCode>
                <c:ptCount val="19"/>
                <c:pt idx="0">
                  <c:v>3400</c:v>
                </c:pt>
                <c:pt idx="1">
                  <c:v>5600</c:v>
                </c:pt>
                <c:pt idx="2">
                  <c:v>9200</c:v>
                </c:pt>
                <c:pt idx="3">
                  <c:v>11800</c:v>
                </c:pt>
                <c:pt idx="4">
                  <c:v>19300</c:v>
                </c:pt>
                <c:pt idx="5">
                  <c:v>27600</c:v>
                </c:pt>
                <c:pt idx="6">
                  <c:v>15700</c:v>
                </c:pt>
                <c:pt idx="7">
                  <c:v>30630</c:v>
                </c:pt>
                <c:pt idx="8">
                  <c:v>67200</c:v>
                </c:pt>
                <c:pt idx="9">
                  <c:v>71100</c:v>
                </c:pt>
                <c:pt idx="10">
                  <c:v>104400</c:v>
                </c:pt>
                <c:pt idx="11">
                  <c:v>113500</c:v>
                </c:pt>
                <c:pt idx="12">
                  <c:v>85144</c:v>
                </c:pt>
                <c:pt idx="13">
                  <c:v>126894</c:v>
                </c:pt>
                <c:pt idx="14">
                  <c:v>110152</c:v>
                </c:pt>
                <c:pt idx="15">
                  <c:v>81806</c:v>
                </c:pt>
                <c:pt idx="16">
                  <c:v>76672</c:v>
                </c:pt>
                <c:pt idx="17">
                  <c:v>154923</c:v>
                </c:pt>
                <c:pt idx="18">
                  <c:v>197988</c:v>
                </c:pt>
              </c:numCache>
            </c:numRef>
          </c:val>
        </c:ser>
        <c:ser>
          <c:idx val="1"/>
          <c:order val="1"/>
          <c:tx>
            <c:strRef>
              <c:f>'annual data'!$H$4</c:f>
              <c:strCache>
                <c:ptCount val="1"/>
                <c:pt idx="0">
                  <c:v>gross consumption</c:v>
                </c:pt>
              </c:strCache>
            </c:strRef>
          </c:tx>
          <c:marker>
            <c:symbol val="none"/>
          </c:marker>
          <c:cat>
            <c:numRef>
              <c:f>'annual data'!$F$5:$F$23</c:f>
              <c:numCache>
                <c:formatCode>General</c:formatCode>
                <c:ptCount val="19"/>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numCache>
            </c:numRef>
          </c:cat>
          <c:val>
            <c:numRef>
              <c:f>'annual data'!$H$5:$H$23</c:f>
              <c:numCache>
                <c:formatCode>General</c:formatCode>
                <c:ptCount val="19"/>
                <c:pt idx="0">
                  <c:v>3400</c:v>
                </c:pt>
                <c:pt idx="1">
                  <c:v>5600</c:v>
                </c:pt>
                <c:pt idx="2">
                  <c:v>10800</c:v>
                </c:pt>
                <c:pt idx="3">
                  <c:v>17800</c:v>
                </c:pt>
                <c:pt idx="4">
                  <c:v>24800</c:v>
                </c:pt>
                <c:pt idx="5">
                  <c:v>37500</c:v>
                </c:pt>
                <c:pt idx="6">
                  <c:v>41420</c:v>
                </c:pt>
                <c:pt idx="7">
                  <c:v>50800</c:v>
                </c:pt>
                <c:pt idx="8">
                  <c:v>70328</c:v>
                </c:pt>
                <c:pt idx="9">
                  <c:v>51600</c:v>
                </c:pt>
                <c:pt idx="10">
                  <c:v>73140</c:v>
                </c:pt>
                <c:pt idx="11">
                  <c:v>70060</c:v>
                </c:pt>
                <c:pt idx="12">
                  <c:v>35850</c:v>
                </c:pt>
                <c:pt idx="13">
                  <c:v>3169</c:v>
                </c:pt>
                <c:pt idx="14">
                  <c:v>20229</c:v>
                </c:pt>
                <c:pt idx="15">
                  <c:v>36946</c:v>
                </c:pt>
                <c:pt idx="16">
                  <c:v>88121</c:v>
                </c:pt>
                <c:pt idx="17">
                  <c:v>135572</c:v>
                </c:pt>
                <c:pt idx="18">
                  <c:v>184188</c:v>
                </c:pt>
              </c:numCache>
            </c:numRef>
          </c:val>
        </c:ser>
        <c:ser>
          <c:idx val="2"/>
          <c:order val="2"/>
          <c:tx>
            <c:strRef>
              <c:f>'annual data'!$I$4</c:f>
              <c:strCache>
                <c:ptCount val="1"/>
                <c:pt idx="0">
                  <c:v>import</c:v>
                </c:pt>
              </c:strCache>
            </c:strRef>
          </c:tx>
          <c:marker>
            <c:symbol val="none"/>
          </c:marker>
          <c:cat>
            <c:numRef>
              <c:f>'annual data'!$F$5:$F$23</c:f>
              <c:numCache>
                <c:formatCode>General</c:formatCode>
                <c:ptCount val="19"/>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numCache>
            </c:numRef>
          </c:cat>
          <c:val>
            <c:numRef>
              <c:f>'annual data'!$I$5:$I$23</c:f>
              <c:numCache>
                <c:formatCode>General</c:formatCode>
                <c:ptCount val="19"/>
                <c:pt idx="2">
                  <c:v>1600</c:v>
                </c:pt>
                <c:pt idx="3">
                  <c:v>8400</c:v>
                </c:pt>
                <c:pt idx="4">
                  <c:v>8700</c:v>
                </c:pt>
                <c:pt idx="5">
                  <c:v>11400</c:v>
                </c:pt>
                <c:pt idx="6">
                  <c:v>25800</c:v>
                </c:pt>
                <c:pt idx="7">
                  <c:v>20200</c:v>
                </c:pt>
                <c:pt idx="8">
                  <c:v>3200</c:v>
                </c:pt>
                <c:pt idx="9">
                  <c:v>2900</c:v>
                </c:pt>
                <c:pt idx="10">
                  <c:v>40</c:v>
                </c:pt>
                <c:pt idx="11">
                  <c:v>60</c:v>
                </c:pt>
                <c:pt idx="12">
                  <c:v>3120</c:v>
                </c:pt>
                <c:pt idx="13">
                  <c:v>7811</c:v>
                </c:pt>
                <c:pt idx="14">
                  <c:v>22973</c:v>
                </c:pt>
                <c:pt idx="15">
                  <c:v>8339</c:v>
                </c:pt>
                <c:pt idx="16">
                  <c:v>43657</c:v>
                </c:pt>
                <c:pt idx="17">
                  <c:v>10866</c:v>
                </c:pt>
                <c:pt idx="18">
                  <c:v>21707</c:v>
                </c:pt>
              </c:numCache>
            </c:numRef>
          </c:val>
        </c:ser>
        <c:ser>
          <c:idx val="3"/>
          <c:order val="3"/>
          <c:tx>
            <c:strRef>
              <c:f>'annual data'!$J$4</c:f>
              <c:strCache>
                <c:ptCount val="1"/>
                <c:pt idx="0">
                  <c:v>export</c:v>
                </c:pt>
              </c:strCache>
            </c:strRef>
          </c:tx>
          <c:marker>
            <c:symbol val="none"/>
          </c:marker>
          <c:cat>
            <c:numRef>
              <c:f>'annual data'!$F$5:$F$23</c:f>
              <c:numCache>
                <c:formatCode>General</c:formatCode>
                <c:ptCount val="19"/>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numCache>
            </c:numRef>
          </c:cat>
          <c:val>
            <c:numRef>
              <c:f>'annual data'!$J$5:$J$23</c:f>
              <c:numCache>
                <c:formatCode>General</c:formatCode>
                <c:ptCount val="19"/>
                <c:pt idx="3">
                  <c:v>2400</c:v>
                </c:pt>
                <c:pt idx="4">
                  <c:v>3200</c:v>
                </c:pt>
                <c:pt idx="5">
                  <c:v>1500</c:v>
                </c:pt>
                <c:pt idx="6">
                  <c:v>80</c:v>
                </c:pt>
                <c:pt idx="7">
                  <c:v>30</c:v>
                </c:pt>
                <c:pt idx="8">
                  <c:v>72</c:v>
                </c:pt>
                <c:pt idx="9">
                  <c:v>22400</c:v>
                </c:pt>
                <c:pt idx="10">
                  <c:v>31300</c:v>
                </c:pt>
                <c:pt idx="11">
                  <c:v>43500</c:v>
                </c:pt>
                <c:pt idx="12">
                  <c:v>52414</c:v>
                </c:pt>
                <c:pt idx="13">
                  <c:v>131536</c:v>
                </c:pt>
                <c:pt idx="14">
                  <c:v>110926</c:v>
                </c:pt>
                <c:pt idx="15">
                  <c:v>53572</c:v>
                </c:pt>
                <c:pt idx="16">
                  <c:v>34352</c:v>
                </c:pt>
                <c:pt idx="17">
                  <c:v>29911</c:v>
                </c:pt>
                <c:pt idx="18">
                  <c:v>35232</c:v>
                </c:pt>
              </c:numCache>
            </c:numRef>
          </c:val>
        </c:ser>
        <c:marker val="1"/>
        <c:axId val="160460800"/>
        <c:axId val="160462336"/>
      </c:lineChart>
      <c:catAx>
        <c:axId val="160460800"/>
        <c:scaling>
          <c:orientation val="minMax"/>
        </c:scaling>
        <c:axPos val="b"/>
        <c:numFmt formatCode="General" sourceLinked="1"/>
        <c:majorTickMark val="none"/>
        <c:tickLblPos val="nextTo"/>
        <c:txPr>
          <a:bodyPr/>
          <a:lstStyle/>
          <a:p>
            <a:pPr>
              <a:defRPr lang="cs-CZ" sz="800"/>
            </a:pPr>
            <a:endParaRPr lang="de-DE"/>
          </a:p>
        </c:txPr>
        <c:crossAx val="160462336"/>
        <c:crosses val="autoZero"/>
        <c:auto val="1"/>
        <c:lblAlgn val="ctr"/>
        <c:lblOffset val="100"/>
      </c:catAx>
      <c:valAx>
        <c:axId val="160462336"/>
        <c:scaling>
          <c:orientation val="minMax"/>
          <c:max val="200000"/>
          <c:min val="0"/>
        </c:scaling>
        <c:axPos val="l"/>
        <c:majorGridlines/>
        <c:numFmt formatCode="General" sourceLinked="1"/>
        <c:majorTickMark val="none"/>
        <c:tickLblPos val="nextTo"/>
        <c:txPr>
          <a:bodyPr/>
          <a:lstStyle/>
          <a:p>
            <a:pPr>
              <a:defRPr lang="cs-CZ" sz="800"/>
            </a:pPr>
            <a:endParaRPr lang="de-DE"/>
          </a:p>
        </c:txPr>
        <c:crossAx val="160460800"/>
        <c:crosses val="autoZero"/>
        <c:crossBetween val="between"/>
      </c:valAx>
      <c:dTable>
        <c:showHorzBorder val="1"/>
        <c:showVertBorder val="1"/>
        <c:showOutline val="1"/>
        <c:showKeys val="1"/>
        <c:txPr>
          <a:bodyPr/>
          <a:lstStyle/>
          <a:p>
            <a:pPr rtl="0">
              <a:defRPr lang="cs-CZ" sz="700"/>
            </a:pPr>
            <a:endParaRPr lang="de-DE"/>
          </a:p>
        </c:txPr>
      </c:dTable>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de-AT"/>
  <c:chart>
    <c:title>
      <c:tx>
        <c:rich>
          <a:bodyPr/>
          <a:lstStyle/>
          <a:p>
            <a:pPr algn="ctr">
              <a:defRPr lang="cs-CZ"/>
            </a:pPr>
            <a:r>
              <a:rPr lang="cs-CZ" sz="1100"/>
              <a:t>CZ bioethanol home production and gross consumption in t</a:t>
            </a:r>
          </a:p>
        </c:rich>
      </c:tx>
      <c:layout>
        <c:manualLayout>
          <c:xMode val="edge"/>
          <c:yMode val="edge"/>
          <c:x val="0.21802228755176825"/>
          <c:y val="1.8583411339316947E-2"/>
        </c:manualLayout>
      </c:layout>
    </c:title>
    <c:plotArea>
      <c:layout/>
      <c:lineChart>
        <c:grouping val="standard"/>
        <c:ser>
          <c:idx val="0"/>
          <c:order val="0"/>
          <c:tx>
            <c:strRef>
              <c:f>'annual data'!$L$19</c:f>
              <c:strCache>
                <c:ptCount val="1"/>
                <c:pt idx="0">
                  <c:v>home production</c:v>
                </c:pt>
              </c:strCache>
            </c:strRef>
          </c:tx>
          <c:marker>
            <c:symbol val="none"/>
          </c:marker>
          <c:cat>
            <c:numRef>
              <c:f>'annual data'!$K$20:$K$23</c:f>
              <c:numCache>
                <c:formatCode>General</c:formatCode>
                <c:ptCount val="4"/>
                <c:pt idx="0">
                  <c:v>2007</c:v>
                </c:pt>
                <c:pt idx="1">
                  <c:v>2008</c:v>
                </c:pt>
                <c:pt idx="2">
                  <c:v>2009</c:v>
                </c:pt>
                <c:pt idx="3">
                  <c:v>2010</c:v>
                </c:pt>
              </c:numCache>
            </c:numRef>
          </c:cat>
          <c:val>
            <c:numRef>
              <c:f>'annual data'!$L$20:$L$23</c:f>
              <c:numCache>
                <c:formatCode>General</c:formatCode>
                <c:ptCount val="4"/>
                <c:pt idx="0">
                  <c:v>26509</c:v>
                </c:pt>
                <c:pt idx="1">
                  <c:v>60236</c:v>
                </c:pt>
                <c:pt idx="2">
                  <c:v>89625</c:v>
                </c:pt>
                <c:pt idx="3">
                  <c:v>94523</c:v>
                </c:pt>
              </c:numCache>
            </c:numRef>
          </c:val>
        </c:ser>
        <c:ser>
          <c:idx val="1"/>
          <c:order val="1"/>
          <c:tx>
            <c:strRef>
              <c:f>'annual data'!$M$19</c:f>
              <c:strCache>
                <c:ptCount val="1"/>
                <c:pt idx="0">
                  <c:v>gross consumption</c:v>
                </c:pt>
              </c:strCache>
            </c:strRef>
          </c:tx>
          <c:marker>
            <c:symbol val="none"/>
          </c:marker>
          <c:cat>
            <c:numRef>
              <c:f>'annual data'!$K$20:$K$23</c:f>
              <c:numCache>
                <c:formatCode>General</c:formatCode>
                <c:ptCount val="4"/>
                <c:pt idx="0">
                  <c:v>2007</c:v>
                </c:pt>
                <c:pt idx="1">
                  <c:v>2008</c:v>
                </c:pt>
                <c:pt idx="2">
                  <c:v>2009</c:v>
                </c:pt>
                <c:pt idx="3">
                  <c:v>2010</c:v>
                </c:pt>
              </c:numCache>
            </c:numRef>
          </c:cat>
          <c:val>
            <c:numRef>
              <c:f>'annual data'!$M$20:$M$23</c:f>
              <c:numCache>
                <c:formatCode>General</c:formatCode>
                <c:ptCount val="4"/>
                <c:pt idx="0">
                  <c:v>287</c:v>
                </c:pt>
                <c:pt idx="1">
                  <c:v>50721</c:v>
                </c:pt>
                <c:pt idx="2">
                  <c:v>74937</c:v>
                </c:pt>
                <c:pt idx="3">
                  <c:v>69037</c:v>
                </c:pt>
              </c:numCache>
            </c:numRef>
          </c:val>
        </c:ser>
        <c:ser>
          <c:idx val="2"/>
          <c:order val="2"/>
          <c:tx>
            <c:strRef>
              <c:f>'annual data'!$N$19</c:f>
              <c:strCache>
                <c:ptCount val="1"/>
                <c:pt idx="0">
                  <c:v>import</c:v>
                </c:pt>
              </c:strCache>
            </c:strRef>
          </c:tx>
          <c:marker>
            <c:symbol val="none"/>
          </c:marker>
          <c:cat>
            <c:numRef>
              <c:f>'annual data'!$K$20:$K$23</c:f>
              <c:numCache>
                <c:formatCode>General</c:formatCode>
                <c:ptCount val="4"/>
                <c:pt idx="0">
                  <c:v>2007</c:v>
                </c:pt>
                <c:pt idx="1">
                  <c:v>2008</c:v>
                </c:pt>
                <c:pt idx="2">
                  <c:v>2009</c:v>
                </c:pt>
                <c:pt idx="3">
                  <c:v>2010</c:v>
                </c:pt>
              </c:numCache>
            </c:numRef>
          </c:cat>
          <c:val>
            <c:numRef>
              <c:f>'annual data'!$N$20:$N$23</c:f>
              <c:numCache>
                <c:formatCode>General</c:formatCode>
                <c:ptCount val="4"/>
                <c:pt idx="0">
                  <c:v>0</c:v>
                </c:pt>
                <c:pt idx="1">
                  <c:v>20404</c:v>
                </c:pt>
                <c:pt idx="2">
                  <c:v>32939</c:v>
                </c:pt>
                <c:pt idx="3">
                  <c:v>10361</c:v>
                </c:pt>
              </c:numCache>
            </c:numRef>
          </c:val>
        </c:ser>
        <c:ser>
          <c:idx val="3"/>
          <c:order val="3"/>
          <c:tx>
            <c:strRef>
              <c:f>'annual data'!$O$19</c:f>
              <c:strCache>
                <c:ptCount val="1"/>
                <c:pt idx="0">
                  <c:v>export</c:v>
                </c:pt>
              </c:strCache>
            </c:strRef>
          </c:tx>
          <c:marker>
            <c:symbol val="none"/>
          </c:marker>
          <c:cat>
            <c:numRef>
              <c:f>'annual data'!$K$20:$K$23</c:f>
              <c:numCache>
                <c:formatCode>General</c:formatCode>
                <c:ptCount val="4"/>
                <c:pt idx="0">
                  <c:v>2007</c:v>
                </c:pt>
                <c:pt idx="1">
                  <c:v>2008</c:v>
                </c:pt>
                <c:pt idx="2">
                  <c:v>2009</c:v>
                </c:pt>
                <c:pt idx="3">
                  <c:v>2010</c:v>
                </c:pt>
              </c:numCache>
            </c:numRef>
          </c:cat>
          <c:val>
            <c:numRef>
              <c:f>'annual data'!$O$20:$O$23</c:f>
              <c:numCache>
                <c:formatCode>General</c:formatCode>
                <c:ptCount val="4"/>
                <c:pt idx="0">
                  <c:v>17027</c:v>
                </c:pt>
                <c:pt idx="1">
                  <c:v>31909</c:v>
                </c:pt>
                <c:pt idx="2">
                  <c:v>50953</c:v>
                </c:pt>
                <c:pt idx="3">
                  <c:v>36556</c:v>
                </c:pt>
              </c:numCache>
            </c:numRef>
          </c:val>
        </c:ser>
        <c:marker val="1"/>
        <c:axId val="161559296"/>
        <c:axId val="161560832"/>
      </c:lineChart>
      <c:catAx>
        <c:axId val="161559296"/>
        <c:scaling>
          <c:orientation val="minMax"/>
        </c:scaling>
        <c:axPos val="b"/>
        <c:numFmt formatCode="General" sourceLinked="1"/>
        <c:majorTickMark val="none"/>
        <c:tickLblPos val="nextTo"/>
        <c:txPr>
          <a:bodyPr/>
          <a:lstStyle/>
          <a:p>
            <a:pPr>
              <a:defRPr lang="cs-CZ"/>
            </a:pPr>
            <a:endParaRPr lang="de-DE"/>
          </a:p>
        </c:txPr>
        <c:crossAx val="161560832"/>
        <c:crosses val="autoZero"/>
        <c:auto val="1"/>
        <c:lblAlgn val="ctr"/>
        <c:lblOffset val="100"/>
      </c:catAx>
      <c:valAx>
        <c:axId val="161560832"/>
        <c:scaling>
          <c:orientation val="minMax"/>
        </c:scaling>
        <c:axPos val="l"/>
        <c:majorGridlines/>
        <c:numFmt formatCode="General" sourceLinked="1"/>
        <c:majorTickMark val="none"/>
        <c:tickLblPos val="nextTo"/>
        <c:txPr>
          <a:bodyPr/>
          <a:lstStyle/>
          <a:p>
            <a:pPr>
              <a:defRPr lang="cs-CZ"/>
            </a:pPr>
            <a:endParaRPr lang="de-DE"/>
          </a:p>
        </c:txPr>
        <c:crossAx val="161559296"/>
        <c:crosses val="autoZero"/>
        <c:crossBetween val="between"/>
      </c:valAx>
      <c:dTable>
        <c:showHorzBorder val="1"/>
        <c:showVertBorder val="1"/>
        <c:showOutline val="1"/>
        <c:showKeys val="1"/>
        <c:txPr>
          <a:bodyPr/>
          <a:lstStyle/>
          <a:p>
            <a:pPr rtl="0">
              <a:defRPr lang="cs-CZ"/>
            </a:pPr>
            <a:endParaRPr lang="de-DE"/>
          </a:p>
        </c:txPr>
      </c:dTable>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de-AT"/>
  <c:chart>
    <c:title>
      <c:tx>
        <c:rich>
          <a:bodyPr/>
          <a:lstStyle/>
          <a:p>
            <a:pPr>
              <a:defRPr lang="cs-CZ"/>
            </a:pPr>
            <a:r>
              <a:rPr lang="cs-CZ" sz="1200"/>
              <a:t>CZ FAME</a:t>
            </a:r>
            <a:r>
              <a:rPr lang="cs-CZ" sz="1200" baseline="0"/>
              <a:t> home production and gross consumption </a:t>
            </a:r>
            <a:r>
              <a:rPr lang="cs-CZ" sz="1200" b="1" i="0" u="none" strike="noStrike" baseline="0"/>
              <a:t>in t</a:t>
            </a:r>
            <a:r>
              <a:rPr lang="cs-CZ" sz="1200" baseline="0"/>
              <a:t>, monthly</a:t>
            </a:r>
            <a:endParaRPr lang="cs-CZ" sz="1200"/>
          </a:p>
        </c:rich>
      </c:tx>
      <c:layout>
        <c:manualLayout>
          <c:xMode val="edge"/>
          <c:yMode val="edge"/>
          <c:x val="0.14406255468066492"/>
          <c:y val="1.388888888888897E-2"/>
        </c:manualLayout>
      </c:layout>
    </c:title>
    <c:plotArea>
      <c:layout>
        <c:manualLayout>
          <c:layoutTarget val="inner"/>
          <c:xMode val="edge"/>
          <c:yMode val="edge"/>
          <c:x val="9.5351780087050253E-2"/>
          <c:y val="0.13276989373462991"/>
          <c:w val="0.69361373715432961"/>
          <c:h val="0.63511615489324558"/>
        </c:manualLayout>
      </c:layout>
      <c:lineChart>
        <c:grouping val="standard"/>
        <c:ser>
          <c:idx val="0"/>
          <c:order val="0"/>
          <c:tx>
            <c:strRef>
              <c:f>'monthly data'!$B$7</c:f>
              <c:strCache>
                <c:ptCount val="1"/>
                <c:pt idx="0">
                  <c:v>CZ FAMEhome production</c:v>
                </c:pt>
              </c:strCache>
            </c:strRef>
          </c:tx>
          <c:marker>
            <c:symbol val="none"/>
          </c:marker>
          <c:cat>
            <c:strRef>
              <c:f>'monthly data'!$A$8:$A$67</c:f>
              <c:strCache>
                <c:ptCount val="60"/>
                <c:pt idx="0">
                  <c:v>2006-1</c:v>
                </c:pt>
                <c:pt idx="1">
                  <c:v>2006-2</c:v>
                </c:pt>
                <c:pt idx="2">
                  <c:v>2006-3</c:v>
                </c:pt>
                <c:pt idx="3">
                  <c:v>2006-4</c:v>
                </c:pt>
                <c:pt idx="4">
                  <c:v>2006-5</c:v>
                </c:pt>
                <c:pt idx="5">
                  <c:v>2006-6</c:v>
                </c:pt>
                <c:pt idx="6">
                  <c:v>2006-7</c:v>
                </c:pt>
                <c:pt idx="7">
                  <c:v>2006-8</c:v>
                </c:pt>
                <c:pt idx="8">
                  <c:v>2006-9</c:v>
                </c:pt>
                <c:pt idx="9">
                  <c:v>2006-10</c:v>
                </c:pt>
                <c:pt idx="10">
                  <c:v>2006-11</c:v>
                </c:pt>
                <c:pt idx="11">
                  <c:v>2006-12</c:v>
                </c:pt>
                <c:pt idx="12">
                  <c:v>2007-1</c:v>
                </c:pt>
                <c:pt idx="13">
                  <c:v>2007-2</c:v>
                </c:pt>
                <c:pt idx="14">
                  <c:v>2007-3</c:v>
                </c:pt>
                <c:pt idx="15">
                  <c:v>2007-4</c:v>
                </c:pt>
                <c:pt idx="16">
                  <c:v>2007-5</c:v>
                </c:pt>
                <c:pt idx="17">
                  <c:v>2007-6</c:v>
                </c:pt>
                <c:pt idx="18">
                  <c:v>2007-7</c:v>
                </c:pt>
                <c:pt idx="19">
                  <c:v>2007-8</c:v>
                </c:pt>
                <c:pt idx="20">
                  <c:v>2007-9</c:v>
                </c:pt>
                <c:pt idx="21">
                  <c:v>2007-10</c:v>
                </c:pt>
                <c:pt idx="22">
                  <c:v>2007-11</c:v>
                </c:pt>
                <c:pt idx="23">
                  <c:v>2007-12</c:v>
                </c:pt>
                <c:pt idx="24">
                  <c:v>2008-1</c:v>
                </c:pt>
                <c:pt idx="25">
                  <c:v>2008-2</c:v>
                </c:pt>
                <c:pt idx="26">
                  <c:v>2008-3</c:v>
                </c:pt>
                <c:pt idx="27">
                  <c:v>2008-4</c:v>
                </c:pt>
                <c:pt idx="28">
                  <c:v>2008-5</c:v>
                </c:pt>
                <c:pt idx="29">
                  <c:v>2008-6</c:v>
                </c:pt>
                <c:pt idx="30">
                  <c:v>2008-7</c:v>
                </c:pt>
                <c:pt idx="31">
                  <c:v>2008-8</c:v>
                </c:pt>
                <c:pt idx="32">
                  <c:v>2008-9</c:v>
                </c:pt>
                <c:pt idx="33">
                  <c:v>2008-10</c:v>
                </c:pt>
                <c:pt idx="34">
                  <c:v>2008-11</c:v>
                </c:pt>
                <c:pt idx="35">
                  <c:v>2008-12</c:v>
                </c:pt>
                <c:pt idx="36">
                  <c:v>2009-1</c:v>
                </c:pt>
                <c:pt idx="37">
                  <c:v>2009-2</c:v>
                </c:pt>
                <c:pt idx="38">
                  <c:v>2009-3</c:v>
                </c:pt>
                <c:pt idx="39">
                  <c:v>2009-4</c:v>
                </c:pt>
                <c:pt idx="40">
                  <c:v>2009-5</c:v>
                </c:pt>
                <c:pt idx="41">
                  <c:v>2009-6</c:v>
                </c:pt>
                <c:pt idx="42">
                  <c:v>2009-7</c:v>
                </c:pt>
                <c:pt idx="43">
                  <c:v>2009-8</c:v>
                </c:pt>
                <c:pt idx="44">
                  <c:v>2009-9</c:v>
                </c:pt>
                <c:pt idx="45">
                  <c:v>2009-10</c:v>
                </c:pt>
                <c:pt idx="46">
                  <c:v>2009-11</c:v>
                </c:pt>
                <c:pt idx="47">
                  <c:v>2009-12</c:v>
                </c:pt>
                <c:pt idx="48">
                  <c:v>2010-1</c:v>
                </c:pt>
                <c:pt idx="49">
                  <c:v>2010-2</c:v>
                </c:pt>
                <c:pt idx="50">
                  <c:v>2010-3</c:v>
                </c:pt>
                <c:pt idx="51">
                  <c:v>2010-4</c:v>
                </c:pt>
                <c:pt idx="52">
                  <c:v>2010-5</c:v>
                </c:pt>
                <c:pt idx="53">
                  <c:v>2010-6</c:v>
                </c:pt>
                <c:pt idx="54">
                  <c:v>2010-7</c:v>
                </c:pt>
                <c:pt idx="55">
                  <c:v>2010-8</c:v>
                </c:pt>
                <c:pt idx="56">
                  <c:v>2010-9</c:v>
                </c:pt>
                <c:pt idx="57">
                  <c:v>2010-10</c:v>
                </c:pt>
                <c:pt idx="58">
                  <c:v>2010-11</c:v>
                </c:pt>
                <c:pt idx="59">
                  <c:v>2010-12</c:v>
                </c:pt>
              </c:strCache>
            </c:strRef>
          </c:cat>
          <c:val>
            <c:numRef>
              <c:f>'monthly data'!$B$8:$B$67</c:f>
              <c:numCache>
                <c:formatCode>General</c:formatCode>
                <c:ptCount val="60"/>
                <c:pt idx="0">
                  <c:v>10629</c:v>
                </c:pt>
                <c:pt idx="1">
                  <c:v>8576</c:v>
                </c:pt>
                <c:pt idx="2">
                  <c:v>9429</c:v>
                </c:pt>
                <c:pt idx="3">
                  <c:v>9952</c:v>
                </c:pt>
                <c:pt idx="4">
                  <c:v>9812</c:v>
                </c:pt>
                <c:pt idx="5">
                  <c:v>9634</c:v>
                </c:pt>
                <c:pt idx="6">
                  <c:v>7354</c:v>
                </c:pt>
                <c:pt idx="7">
                  <c:v>10145</c:v>
                </c:pt>
                <c:pt idx="8">
                  <c:v>9598</c:v>
                </c:pt>
                <c:pt idx="9">
                  <c:v>9995</c:v>
                </c:pt>
                <c:pt idx="10">
                  <c:v>7745</c:v>
                </c:pt>
                <c:pt idx="11">
                  <c:v>7283</c:v>
                </c:pt>
                <c:pt idx="12">
                  <c:v>5459</c:v>
                </c:pt>
                <c:pt idx="13">
                  <c:v>3768</c:v>
                </c:pt>
                <c:pt idx="14">
                  <c:v>5655</c:v>
                </c:pt>
                <c:pt idx="15">
                  <c:v>5808</c:v>
                </c:pt>
                <c:pt idx="16">
                  <c:v>6685</c:v>
                </c:pt>
                <c:pt idx="17">
                  <c:v>6158</c:v>
                </c:pt>
                <c:pt idx="18">
                  <c:v>6251</c:v>
                </c:pt>
                <c:pt idx="19">
                  <c:v>5838</c:v>
                </c:pt>
                <c:pt idx="20">
                  <c:v>10034</c:v>
                </c:pt>
                <c:pt idx="21">
                  <c:v>8902</c:v>
                </c:pt>
                <c:pt idx="22">
                  <c:v>9043</c:v>
                </c:pt>
                <c:pt idx="23">
                  <c:v>8205</c:v>
                </c:pt>
                <c:pt idx="24">
                  <c:v>8684</c:v>
                </c:pt>
                <c:pt idx="25">
                  <c:v>7732</c:v>
                </c:pt>
                <c:pt idx="26">
                  <c:v>6880</c:v>
                </c:pt>
                <c:pt idx="27">
                  <c:v>3826</c:v>
                </c:pt>
                <c:pt idx="28">
                  <c:v>4950</c:v>
                </c:pt>
                <c:pt idx="29">
                  <c:v>6563</c:v>
                </c:pt>
                <c:pt idx="30">
                  <c:v>2383</c:v>
                </c:pt>
                <c:pt idx="31">
                  <c:v>8005</c:v>
                </c:pt>
                <c:pt idx="32">
                  <c:v>7327</c:v>
                </c:pt>
                <c:pt idx="33">
                  <c:v>8636</c:v>
                </c:pt>
                <c:pt idx="34">
                  <c:v>8259</c:v>
                </c:pt>
                <c:pt idx="35">
                  <c:v>4428</c:v>
                </c:pt>
                <c:pt idx="36">
                  <c:v>6591</c:v>
                </c:pt>
                <c:pt idx="37">
                  <c:v>10804</c:v>
                </c:pt>
                <c:pt idx="38">
                  <c:v>12777</c:v>
                </c:pt>
                <c:pt idx="39">
                  <c:v>12699</c:v>
                </c:pt>
                <c:pt idx="40">
                  <c:v>12671</c:v>
                </c:pt>
                <c:pt idx="41">
                  <c:v>14448</c:v>
                </c:pt>
                <c:pt idx="42">
                  <c:v>13795</c:v>
                </c:pt>
                <c:pt idx="43">
                  <c:v>15727</c:v>
                </c:pt>
                <c:pt idx="44">
                  <c:v>16826</c:v>
                </c:pt>
                <c:pt idx="45">
                  <c:v>13209</c:v>
                </c:pt>
                <c:pt idx="46">
                  <c:v>12806</c:v>
                </c:pt>
                <c:pt idx="47">
                  <c:v>12570</c:v>
                </c:pt>
                <c:pt idx="48">
                  <c:v>14417</c:v>
                </c:pt>
                <c:pt idx="49">
                  <c:v>12103</c:v>
                </c:pt>
                <c:pt idx="50">
                  <c:v>12079</c:v>
                </c:pt>
                <c:pt idx="51">
                  <c:v>16249</c:v>
                </c:pt>
                <c:pt idx="52">
                  <c:v>16927</c:v>
                </c:pt>
                <c:pt idx="53">
                  <c:v>19227</c:v>
                </c:pt>
                <c:pt idx="54">
                  <c:v>17819</c:v>
                </c:pt>
                <c:pt idx="55">
                  <c:v>19152</c:v>
                </c:pt>
                <c:pt idx="56">
                  <c:v>19979</c:v>
                </c:pt>
                <c:pt idx="57">
                  <c:v>15696</c:v>
                </c:pt>
                <c:pt idx="58">
                  <c:v>18230</c:v>
                </c:pt>
                <c:pt idx="59">
                  <c:v>16113</c:v>
                </c:pt>
              </c:numCache>
            </c:numRef>
          </c:val>
        </c:ser>
        <c:ser>
          <c:idx val="1"/>
          <c:order val="1"/>
          <c:tx>
            <c:strRef>
              <c:f>'monthly data'!$C$7</c:f>
              <c:strCache>
                <c:ptCount val="1"/>
                <c:pt idx="0">
                  <c:v>CZ FAMEgross consumption</c:v>
                </c:pt>
              </c:strCache>
            </c:strRef>
          </c:tx>
          <c:marker>
            <c:symbol val="none"/>
          </c:marker>
          <c:cat>
            <c:strRef>
              <c:f>'monthly data'!$A$8:$A$67</c:f>
              <c:strCache>
                <c:ptCount val="60"/>
                <c:pt idx="0">
                  <c:v>2006-1</c:v>
                </c:pt>
                <c:pt idx="1">
                  <c:v>2006-2</c:v>
                </c:pt>
                <c:pt idx="2">
                  <c:v>2006-3</c:v>
                </c:pt>
                <c:pt idx="3">
                  <c:v>2006-4</c:v>
                </c:pt>
                <c:pt idx="4">
                  <c:v>2006-5</c:v>
                </c:pt>
                <c:pt idx="5">
                  <c:v>2006-6</c:v>
                </c:pt>
                <c:pt idx="6">
                  <c:v>2006-7</c:v>
                </c:pt>
                <c:pt idx="7">
                  <c:v>2006-8</c:v>
                </c:pt>
                <c:pt idx="8">
                  <c:v>2006-9</c:v>
                </c:pt>
                <c:pt idx="9">
                  <c:v>2006-10</c:v>
                </c:pt>
                <c:pt idx="10">
                  <c:v>2006-11</c:v>
                </c:pt>
                <c:pt idx="11">
                  <c:v>2006-12</c:v>
                </c:pt>
                <c:pt idx="12">
                  <c:v>2007-1</c:v>
                </c:pt>
                <c:pt idx="13">
                  <c:v>2007-2</c:v>
                </c:pt>
                <c:pt idx="14">
                  <c:v>2007-3</c:v>
                </c:pt>
                <c:pt idx="15">
                  <c:v>2007-4</c:v>
                </c:pt>
                <c:pt idx="16">
                  <c:v>2007-5</c:v>
                </c:pt>
                <c:pt idx="17">
                  <c:v>2007-6</c:v>
                </c:pt>
                <c:pt idx="18">
                  <c:v>2007-7</c:v>
                </c:pt>
                <c:pt idx="19">
                  <c:v>2007-8</c:v>
                </c:pt>
                <c:pt idx="20">
                  <c:v>2007-9</c:v>
                </c:pt>
                <c:pt idx="21">
                  <c:v>2007-10</c:v>
                </c:pt>
                <c:pt idx="22">
                  <c:v>2007-11</c:v>
                </c:pt>
                <c:pt idx="23">
                  <c:v>2007-12</c:v>
                </c:pt>
                <c:pt idx="24">
                  <c:v>2008-1</c:v>
                </c:pt>
                <c:pt idx="25">
                  <c:v>2008-2</c:v>
                </c:pt>
                <c:pt idx="26">
                  <c:v>2008-3</c:v>
                </c:pt>
                <c:pt idx="27">
                  <c:v>2008-4</c:v>
                </c:pt>
                <c:pt idx="28">
                  <c:v>2008-5</c:v>
                </c:pt>
                <c:pt idx="29">
                  <c:v>2008-6</c:v>
                </c:pt>
                <c:pt idx="30">
                  <c:v>2008-7</c:v>
                </c:pt>
                <c:pt idx="31">
                  <c:v>2008-8</c:v>
                </c:pt>
                <c:pt idx="32">
                  <c:v>2008-9</c:v>
                </c:pt>
                <c:pt idx="33">
                  <c:v>2008-10</c:v>
                </c:pt>
                <c:pt idx="34">
                  <c:v>2008-11</c:v>
                </c:pt>
                <c:pt idx="35">
                  <c:v>2008-12</c:v>
                </c:pt>
                <c:pt idx="36">
                  <c:v>2009-1</c:v>
                </c:pt>
                <c:pt idx="37">
                  <c:v>2009-2</c:v>
                </c:pt>
                <c:pt idx="38">
                  <c:v>2009-3</c:v>
                </c:pt>
                <c:pt idx="39">
                  <c:v>2009-4</c:v>
                </c:pt>
                <c:pt idx="40">
                  <c:v>2009-5</c:v>
                </c:pt>
                <c:pt idx="41">
                  <c:v>2009-6</c:v>
                </c:pt>
                <c:pt idx="42">
                  <c:v>2009-7</c:v>
                </c:pt>
                <c:pt idx="43">
                  <c:v>2009-8</c:v>
                </c:pt>
                <c:pt idx="44">
                  <c:v>2009-9</c:v>
                </c:pt>
                <c:pt idx="45">
                  <c:v>2009-10</c:v>
                </c:pt>
                <c:pt idx="46">
                  <c:v>2009-11</c:v>
                </c:pt>
                <c:pt idx="47">
                  <c:v>2009-12</c:v>
                </c:pt>
                <c:pt idx="48">
                  <c:v>2010-1</c:v>
                </c:pt>
                <c:pt idx="49">
                  <c:v>2010-2</c:v>
                </c:pt>
                <c:pt idx="50">
                  <c:v>2010-3</c:v>
                </c:pt>
                <c:pt idx="51">
                  <c:v>2010-4</c:v>
                </c:pt>
                <c:pt idx="52">
                  <c:v>2010-5</c:v>
                </c:pt>
                <c:pt idx="53">
                  <c:v>2010-6</c:v>
                </c:pt>
                <c:pt idx="54">
                  <c:v>2010-7</c:v>
                </c:pt>
                <c:pt idx="55">
                  <c:v>2010-8</c:v>
                </c:pt>
                <c:pt idx="56">
                  <c:v>2010-9</c:v>
                </c:pt>
                <c:pt idx="57">
                  <c:v>2010-10</c:v>
                </c:pt>
                <c:pt idx="58">
                  <c:v>2010-11</c:v>
                </c:pt>
                <c:pt idx="59">
                  <c:v>2010-12</c:v>
                </c:pt>
              </c:strCache>
            </c:strRef>
          </c:cat>
          <c:val>
            <c:numRef>
              <c:f>'monthly data'!$C$8:$C$67</c:f>
              <c:numCache>
                <c:formatCode>General</c:formatCode>
                <c:ptCount val="60"/>
                <c:pt idx="0">
                  <c:v>1839</c:v>
                </c:pt>
                <c:pt idx="1">
                  <c:v>688</c:v>
                </c:pt>
                <c:pt idx="2">
                  <c:v>1194</c:v>
                </c:pt>
                <c:pt idx="3">
                  <c:v>1516</c:v>
                </c:pt>
                <c:pt idx="4">
                  <c:v>1553</c:v>
                </c:pt>
                <c:pt idx="5">
                  <c:v>1245</c:v>
                </c:pt>
                <c:pt idx="6">
                  <c:v>2341</c:v>
                </c:pt>
                <c:pt idx="7">
                  <c:v>2441</c:v>
                </c:pt>
                <c:pt idx="8">
                  <c:v>2132</c:v>
                </c:pt>
                <c:pt idx="9">
                  <c:v>1786</c:v>
                </c:pt>
                <c:pt idx="10">
                  <c:v>743</c:v>
                </c:pt>
                <c:pt idx="11">
                  <c:v>2752</c:v>
                </c:pt>
                <c:pt idx="12">
                  <c:v>724</c:v>
                </c:pt>
                <c:pt idx="13">
                  <c:v>685</c:v>
                </c:pt>
                <c:pt idx="14">
                  <c:v>2419</c:v>
                </c:pt>
                <c:pt idx="15">
                  <c:v>687</c:v>
                </c:pt>
                <c:pt idx="16">
                  <c:v>1645</c:v>
                </c:pt>
                <c:pt idx="17">
                  <c:v>1485</c:v>
                </c:pt>
                <c:pt idx="18">
                  <c:v>2003</c:v>
                </c:pt>
                <c:pt idx="19">
                  <c:v>2203</c:v>
                </c:pt>
                <c:pt idx="20">
                  <c:v>6567</c:v>
                </c:pt>
                <c:pt idx="21">
                  <c:v>7241</c:v>
                </c:pt>
                <c:pt idx="22">
                  <c:v>3388</c:v>
                </c:pt>
                <c:pt idx="23">
                  <c:v>7901</c:v>
                </c:pt>
                <c:pt idx="24">
                  <c:v>8509</c:v>
                </c:pt>
                <c:pt idx="25">
                  <c:v>7849</c:v>
                </c:pt>
                <c:pt idx="26">
                  <c:v>8249</c:v>
                </c:pt>
                <c:pt idx="27">
                  <c:v>5253</c:v>
                </c:pt>
                <c:pt idx="28">
                  <c:v>5092</c:v>
                </c:pt>
                <c:pt idx="29">
                  <c:v>6279</c:v>
                </c:pt>
                <c:pt idx="30">
                  <c:v>7012</c:v>
                </c:pt>
                <c:pt idx="31">
                  <c:v>7798</c:v>
                </c:pt>
                <c:pt idx="32">
                  <c:v>8719</c:v>
                </c:pt>
                <c:pt idx="33">
                  <c:v>8793</c:v>
                </c:pt>
                <c:pt idx="34">
                  <c:v>7714</c:v>
                </c:pt>
                <c:pt idx="35">
                  <c:v>6852</c:v>
                </c:pt>
                <c:pt idx="36">
                  <c:v>5021</c:v>
                </c:pt>
                <c:pt idx="37">
                  <c:v>9759</c:v>
                </c:pt>
                <c:pt idx="38">
                  <c:v>13379</c:v>
                </c:pt>
                <c:pt idx="39">
                  <c:v>12901</c:v>
                </c:pt>
                <c:pt idx="40">
                  <c:v>11012</c:v>
                </c:pt>
                <c:pt idx="41">
                  <c:v>9580</c:v>
                </c:pt>
                <c:pt idx="42">
                  <c:v>11687</c:v>
                </c:pt>
                <c:pt idx="43">
                  <c:v>13937</c:v>
                </c:pt>
                <c:pt idx="44">
                  <c:v>14867</c:v>
                </c:pt>
                <c:pt idx="45">
                  <c:v>11551</c:v>
                </c:pt>
                <c:pt idx="46">
                  <c:v>10654</c:v>
                </c:pt>
                <c:pt idx="47">
                  <c:v>11223</c:v>
                </c:pt>
                <c:pt idx="48">
                  <c:v>9076</c:v>
                </c:pt>
                <c:pt idx="49">
                  <c:v>10939</c:v>
                </c:pt>
                <c:pt idx="50">
                  <c:v>10204</c:v>
                </c:pt>
                <c:pt idx="51">
                  <c:v>13925</c:v>
                </c:pt>
                <c:pt idx="52">
                  <c:v>10037</c:v>
                </c:pt>
                <c:pt idx="53">
                  <c:v>14657</c:v>
                </c:pt>
                <c:pt idx="54">
                  <c:v>17827</c:v>
                </c:pt>
                <c:pt idx="55">
                  <c:v>16003</c:v>
                </c:pt>
                <c:pt idx="56">
                  <c:v>18005</c:v>
                </c:pt>
                <c:pt idx="57">
                  <c:v>20835</c:v>
                </c:pt>
                <c:pt idx="58">
                  <c:v>20568</c:v>
                </c:pt>
                <c:pt idx="59">
                  <c:v>22108</c:v>
                </c:pt>
              </c:numCache>
            </c:numRef>
          </c:val>
        </c:ser>
        <c:marker val="1"/>
        <c:axId val="161628160"/>
        <c:axId val="161629696"/>
      </c:lineChart>
      <c:catAx>
        <c:axId val="161628160"/>
        <c:scaling>
          <c:orientation val="minMax"/>
        </c:scaling>
        <c:axPos val="b"/>
        <c:majorTickMark val="none"/>
        <c:tickLblPos val="nextTo"/>
        <c:txPr>
          <a:bodyPr/>
          <a:lstStyle/>
          <a:p>
            <a:pPr>
              <a:defRPr lang="cs-CZ" sz="800"/>
            </a:pPr>
            <a:endParaRPr lang="de-DE"/>
          </a:p>
        </c:txPr>
        <c:crossAx val="161629696"/>
        <c:crosses val="autoZero"/>
        <c:auto val="1"/>
        <c:lblAlgn val="ctr"/>
        <c:lblOffset val="100"/>
      </c:catAx>
      <c:valAx>
        <c:axId val="161629696"/>
        <c:scaling>
          <c:orientation val="minMax"/>
          <c:max val="22000"/>
          <c:min val="0"/>
        </c:scaling>
        <c:axPos val="l"/>
        <c:majorGridlines/>
        <c:numFmt formatCode="General" sourceLinked="1"/>
        <c:majorTickMark val="none"/>
        <c:tickLblPos val="nextTo"/>
        <c:txPr>
          <a:bodyPr/>
          <a:lstStyle/>
          <a:p>
            <a:pPr>
              <a:defRPr lang="cs-CZ" sz="900"/>
            </a:pPr>
            <a:endParaRPr lang="de-DE"/>
          </a:p>
        </c:txPr>
        <c:crossAx val="161628160"/>
        <c:crosses val="autoZero"/>
        <c:crossBetween val="between"/>
      </c:valAx>
    </c:plotArea>
    <c:legend>
      <c:legendPos val="r"/>
      <c:layout>
        <c:manualLayout>
          <c:xMode val="edge"/>
          <c:yMode val="edge"/>
          <c:x val="0.80312497145105777"/>
          <c:y val="0.22776346366446396"/>
          <c:w val="0.18433599474327317"/>
          <c:h val="0.58134031240364292"/>
        </c:manualLayout>
      </c:layout>
      <c:txPr>
        <a:bodyPr/>
        <a:lstStyle/>
        <a:p>
          <a:pPr>
            <a:defRPr lang="cs-CZ"/>
          </a:pPr>
          <a:endParaRPr lang="de-DE"/>
        </a:p>
      </c:txP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de-AT"/>
  <c:chart>
    <c:title>
      <c:tx>
        <c:rich>
          <a:bodyPr/>
          <a:lstStyle/>
          <a:p>
            <a:pPr>
              <a:defRPr lang="cs-CZ"/>
            </a:pPr>
            <a:r>
              <a:rPr lang="cs-CZ" sz="1200"/>
              <a:t>CZ bioethanol home production and gross consumption in t, monthly</a:t>
            </a:r>
          </a:p>
        </c:rich>
      </c:tx>
      <c:layout>
        <c:manualLayout>
          <c:xMode val="edge"/>
          <c:yMode val="edge"/>
          <c:x val="0.15675093244923438"/>
          <c:y val="5.0664421664273094E-3"/>
        </c:manualLayout>
      </c:layout>
    </c:title>
    <c:plotArea>
      <c:layout>
        <c:manualLayout>
          <c:layoutTarget val="inner"/>
          <c:xMode val="edge"/>
          <c:yMode val="edge"/>
          <c:x val="0.11040732431132097"/>
          <c:y val="0.14571287079681094"/>
          <c:w val="0.66200646879212699"/>
          <c:h val="0.64147443833672024"/>
        </c:manualLayout>
      </c:layout>
      <c:lineChart>
        <c:grouping val="standard"/>
        <c:ser>
          <c:idx val="0"/>
          <c:order val="0"/>
          <c:tx>
            <c:strRef>
              <c:f>'monthly data'!$G$19</c:f>
              <c:strCache>
                <c:ptCount val="1"/>
                <c:pt idx="0">
                  <c:v>CZ bioethanol home production</c:v>
                </c:pt>
              </c:strCache>
            </c:strRef>
          </c:tx>
          <c:marker>
            <c:symbol val="none"/>
          </c:marker>
          <c:cat>
            <c:strRef>
              <c:f>'monthly data'!$F$20:$F$67</c:f>
              <c:strCache>
                <c:ptCount val="48"/>
                <c:pt idx="0">
                  <c:v>2007-1</c:v>
                </c:pt>
                <c:pt idx="1">
                  <c:v>2007-2</c:v>
                </c:pt>
                <c:pt idx="2">
                  <c:v>2007-3</c:v>
                </c:pt>
                <c:pt idx="3">
                  <c:v>2007-4</c:v>
                </c:pt>
                <c:pt idx="4">
                  <c:v>2007-5</c:v>
                </c:pt>
                <c:pt idx="5">
                  <c:v>2007-6</c:v>
                </c:pt>
                <c:pt idx="6">
                  <c:v>2007-7</c:v>
                </c:pt>
                <c:pt idx="7">
                  <c:v>2007-8</c:v>
                </c:pt>
                <c:pt idx="8">
                  <c:v>2007-9</c:v>
                </c:pt>
                <c:pt idx="9">
                  <c:v>2007-10</c:v>
                </c:pt>
                <c:pt idx="10">
                  <c:v>2007-11</c:v>
                </c:pt>
                <c:pt idx="11">
                  <c:v>2007-12</c:v>
                </c:pt>
                <c:pt idx="12">
                  <c:v>2008-1</c:v>
                </c:pt>
                <c:pt idx="13">
                  <c:v>2008-2</c:v>
                </c:pt>
                <c:pt idx="14">
                  <c:v>2008-3</c:v>
                </c:pt>
                <c:pt idx="15">
                  <c:v>2008-4</c:v>
                </c:pt>
                <c:pt idx="16">
                  <c:v>2008-5</c:v>
                </c:pt>
                <c:pt idx="17">
                  <c:v>2008-6</c:v>
                </c:pt>
                <c:pt idx="18">
                  <c:v>2008-7</c:v>
                </c:pt>
                <c:pt idx="19">
                  <c:v>2008-8</c:v>
                </c:pt>
                <c:pt idx="20">
                  <c:v>2008-9</c:v>
                </c:pt>
                <c:pt idx="21">
                  <c:v>2008-10</c:v>
                </c:pt>
                <c:pt idx="22">
                  <c:v>2008-11</c:v>
                </c:pt>
                <c:pt idx="23">
                  <c:v>2008-12</c:v>
                </c:pt>
                <c:pt idx="24">
                  <c:v>2009-1</c:v>
                </c:pt>
                <c:pt idx="25">
                  <c:v>2009-2</c:v>
                </c:pt>
                <c:pt idx="26">
                  <c:v>2009-3</c:v>
                </c:pt>
                <c:pt idx="27">
                  <c:v>2009-4</c:v>
                </c:pt>
                <c:pt idx="28">
                  <c:v>2009-5</c:v>
                </c:pt>
                <c:pt idx="29">
                  <c:v>2009-6</c:v>
                </c:pt>
                <c:pt idx="30">
                  <c:v>2009-7</c:v>
                </c:pt>
                <c:pt idx="31">
                  <c:v>2009-8</c:v>
                </c:pt>
                <c:pt idx="32">
                  <c:v>2009-9</c:v>
                </c:pt>
                <c:pt idx="33">
                  <c:v>2009-10</c:v>
                </c:pt>
                <c:pt idx="34">
                  <c:v>2009-11</c:v>
                </c:pt>
                <c:pt idx="35">
                  <c:v>2009-12</c:v>
                </c:pt>
                <c:pt idx="36">
                  <c:v>2010-1</c:v>
                </c:pt>
                <c:pt idx="37">
                  <c:v>2010-2</c:v>
                </c:pt>
                <c:pt idx="38">
                  <c:v>2010-3</c:v>
                </c:pt>
                <c:pt idx="39">
                  <c:v>2010-4</c:v>
                </c:pt>
                <c:pt idx="40">
                  <c:v>2010-5</c:v>
                </c:pt>
                <c:pt idx="41">
                  <c:v>2010-6</c:v>
                </c:pt>
                <c:pt idx="42">
                  <c:v>2010-7</c:v>
                </c:pt>
                <c:pt idx="43">
                  <c:v>2010-8</c:v>
                </c:pt>
                <c:pt idx="44">
                  <c:v>2010-9</c:v>
                </c:pt>
                <c:pt idx="45">
                  <c:v>2010-10</c:v>
                </c:pt>
                <c:pt idx="46">
                  <c:v>2010-11</c:v>
                </c:pt>
                <c:pt idx="47">
                  <c:v>2010-12</c:v>
                </c:pt>
              </c:strCache>
            </c:strRef>
          </c:cat>
          <c:val>
            <c:numRef>
              <c:f>'monthly data'!$G$20:$G$67</c:f>
              <c:numCache>
                <c:formatCode>General</c:formatCode>
                <c:ptCount val="48"/>
                <c:pt idx="0">
                  <c:v>7174</c:v>
                </c:pt>
                <c:pt idx="1">
                  <c:v>0</c:v>
                </c:pt>
                <c:pt idx="2">
                  <c:v>0</c:v>
                </c:pt>
                <c:pt idx="3">
                  <c:v>0</c:v>
                </c:pt>
                <c:pt idx="4">
                  <c:v>24</c:v>
                </c:pt>
                <c:pt idx="5">
                  <c:v>57</c:v>
                </c:pt>
                <c:pt idx="6">
                  <c:v>33</c:v>
                </c:pt>
                <c:pt idx="7">
                  <c:v>53</c:v>
                </c:pt>
                <c:pt idx="8">
                  <c:v>2706</c:v>
                </c:pt>
                <c:pt idx="9">
                  <c:v>6373</c:v>
                </c:pt>
                <c:pt idx="10">
                  <c:v>6</c:v>
                </c:pt>
                <c:pt idx="11">
                  <c:v>10083</c:v>
                </c:pt>
                <c:pt idx="12">
                  <c:v>205</c:v>
                </c:pt>
                <c:pt idx="13">
                  <c:v>2275</c:v>
                </c:pt>
                <c:pt idx="14">
                  <c:v>2730</c:v>
                </c:pt>
                <c:pt idx="15">
                  <c:v>5371</c:v>
                </c:pt>
                <c:pt idx="16">
                  <c:v>5703</c:v>
                </c:pt>
                <c:pt idx="17">
                  <c:v>5106</c:v>
                </c:pt>
                <c:pt idx="18">
                  <c:v>5432</c:v>
                </c:pt>
                <c:pt idx="19">
                  <c:v>4237</c:v>
                </c:pt>
                <c:pt idx="20">
                  <c:v>3041</c:v>
                </c:pt>
                <c:pt idx="21">
                  <c:v>9330</c:v>
                </c:pt>
                <c:pt idx="22">
                  <c:v>10133</c:v>
                </c:pt>
                <c:pt idx="23">
                  <c:v>6674</c:v>
                </c:pt>
                <c:pt idx="24">
                  <c:v>3583</c:v>
                </c:pt>
                <c:pt idx="25">
                  <c:v>7207</c:v>
                </c:pt>
                <c:pt idx="26">
                  <c:v>8360</c:v>
                </c:pt>
                <c:pt idx="27">
                  <c:v>6329</c:v>
                </c:pt>
                <c:pt idx="28">
                  <c:v>7832</c:v>
                </c:pt>
                <c:pt idx="29">
                  <c:v>9479</c:v>
                </c:pt>
                <c:pt idx="30">
                  <c:v>5765</c:v>
                </c:pt>
                <c:pt idx="31">
                  <c:v>3126</c:v>
                </c:pt>
                <c:pt idx="32">
                  <c:v>3804</c:v>
                </c:pt>
                <c:pt idx="33">
                  <c:v>12244</c:v>
                </c:pt>
                <c:pt idx="34">
                  <c:v>11154</c:v>
                </c:pt>
                <c:pt idx="35">
                  <c:v>10744</c:v>
                </c:pt>
                <c:pt idx="36">
                  <c:v>9812</c:v>
                </c:pt>
                <c:pt idx="37">
                  <c:v>5005</c:v>
                </c:pt>
                <c:pt idx="38">
                  <c:v>12602</c:v>
                </c:pt>
                <c:pt idx="39">
                  <c:v>7707</c:v>
                </c:pt>
                <c:pt idx="40">
                  <c:v>9695</c:v>
                </c:pt>
                <c:pt idx="41">
                  <c:v>7032</c:v>
                </c:pt>
                <c:pt idx="42">
                  <c:v>5218</c:v>
                </c:pt>
                <c:pt idx="43">
                  <c:v>1623</c:v>
                </c:pt>
                <c:pt idx="44">
                  <c:v>6540</c:v>
                </c:pt>
                <c:pt idx="45">
                  <c:v>12440</c:v>
                </c:pt>
                <c:pt idx="46">
                  <c:v>9707</c:v>
                </c:pt>
                <c:pt idx="47">
                  <c:v>7142</c:v>
                </c:pt>
              </c:numCache>
            </c:numRef>
          </c:val>
        </c:ser>
        <c:ser>
          <c:idx val="1"/>
          <c:order val="1"/>
          <c:tx>
            <c:strRef>
              <c:f>'monthly data'!$H$19</c:f>
              <c:strCache>
                <c:ptCount val="1"/>
                <c:pt idx="0">
                  <c:v>CZ bioethanol gross consumption</c:v>
                </c:pt>
              </c:strCache>
            </c:strRef>
          </c:tx>
          <c:marker>
            <c:symbol val="none"/>
          </c:marker>
          <c:cat>
            <c:strRef>
              <c:f>'monthly data'!$F$20:$F$67</c:f>
              <c:strCache>
                <c:ptCount val="48"/>
                <c:pt idx="0">
                  <c:v>2007-1</c:v>
                </c:pt>
                <c:pt idx="1">
                  <c:v>2007-2</c:v>
                </c:pt>
                <c:pt idx="2">
                  <c:v>2007-3</c:v>
                </c:pt>
                <c:pt idx="3">
                  <c:v>2007-4</c:v>
                </c:pt>
                <c:pt idx="4">
                  <c:v>2007-5</c:v>
                </c:pt>
                <c:pt idx="5">
                  <c:v>2007-6</c:v>
                </c:pt>
                <c:pt idx="6">
                  <c:v>2007-7</c:v>
                </c:pt>
                <c:pt idx="7">
                  <c:v>2007-8</c:v>
                </c:pt>
                <c:pt idx="8">
                  <c:v>2007-9</c:v>
                </c:pt>
                <c:pt idx="9">
                  <c:v>2007-10</c:v>
                </c:pt>
                <c:pt idx="10">
                  <c:v>2007-11</c:v>
                </c:pt>
                <c:pt idx="11">
                  <c:v>2007-12</c:v>
                </c:pt>
                <c:pt idx="12">
                  <c:v>2008-1</c:v>
                </c:pt>
                <c:pt idx="13">
                  <c:v>2008-2</c:v>
                </c:pt>
                <c:pt idx="14">
                  <c:v>2008-3</c:v>
                </c:pt>
                <c:pt idx="15">
                  <c:v>2008-4</c:v>
                </c:pt>
                <c:pt idx="16">
                  <c:v>2008-5</c:v>
                </c:pt>
                <c:pt idx="17">
                  <c:v>2008-6</c:v>
                </c:pt>
                <c:pt idx="18">
                  <c:v>2008-7</c:v>
                </c:pt>
                <c:pt idx="19">
                  <c:v>2008-8</c:v>
                </c:pt>
                <c:pt idx="20">
                  <c:v>2008-9</c:v>
                </c:pt>
                <c:pt idx="21">
                  <c:v>2008-10</c:v>
                </c:pt>
                <c:pt idx="22">
                  <c:v>2008-11</c:v>
                </c:pt>
                <c:pt idx="23">
                  <c:v>2008-12</c:v>
                </c:pt>
                <c:pt idx="24">
                  <c:v>2009-1</c:v>
                </c:pt>
                <c:pt idx="25">
                  <c:v>2009-2</c:v>
                </c:pt>
                <c:pt idx="26">
                  <c:v>2009-3</c:v>
                </c:pt>
                <c:pt idx="27">
                  <c:v>2009-4</c:v>
                </c:pt>
                <c:pt idx="28">
                  <c:v>2009-5</c:v>
                </c:pt>
                <c:pt idx="29">
                  <c:v>2009-6</c:v>
                </c:pt>
                <c:pt idx="30">
                  <c:v>2009-7</c:v>
                </c:pt>
                <c:pt idx="31">
                  <c:v>2009-8</c:v>
                </c:pt>
                <c:pt idx="32">
                  <c:v>2009-9</c:v>
                </c:pt>
                <c:pt idx="33">
                  <c:v>2009-10</c:v>
                </c:pt>
                <c:pt idx="34">
                  <c:v>2009-11</c:v>
                </c:pt>
                <c:pt idx="35">
                  <c:v>2009-12</c:v>
                </c:pt>
                <c:pt idx="36">
                  <c:v>2010-1</c:v>
                </c:pt>
                <c:pt idx="37">
                  <c:v>2010-2</c:v>
                </c:pt>
                <c:pt idx="38">
                  <c:v>2010-3</c:v>
                </c:pt>
                <c:pt idx="39">
                  <c:v>2010-4</c:v>
                </c:pt>
                <c:pt idx="40">
                  <c:v>2010-5</c:v>
                </c:pt>
                <c:pt idx="41">
                  <c:v>2010-6</c:v>
                </c:pt>
                <c:pt idx="42">
                  <c:v>2010-7</c:v>
                </c:pt>
                <c:pt idx="43">
                  <c:v>2010-8</c:v>
                </c:pt>
                <c:pt idx="44">
                  <c:v>2010-9</c:v>
                </c:pt>
                <c:pt idx="45">
                  <c:v>2010-10</c:v>
                </c:pt>
                <c:pt idx="46">
                  <c:v>2010-11</c:v>
                </c:pt>
                <c:pt idx="47">
                  <c:v>2010-12</c:v>
                </c:pt>
              </c:strCache>
            </c:strRef>
          </c:cat>
          <c:val>
            <c:numRef>
              <c:f>'monthly data'!$H$20:$H$67</c:f>
              <c:numCache>
                <c:formatCode>General</c:formatCode>
                <c:ptCount val="48"/>
                <c:pt idx="0">
                  <c:v>80</c:v>
                </c:pt>
                <c:pt idx="1">
                  <c:v>0</c:v>
                </c:pt>
                <c:pt idx="2">
                  <c:v>0</c:v>
                </c:pt>
                <c:pt idx="3">
                  <c:v>0</c:v>
                </c:pt>
                <c:pt idx="4">
                  <c:v>24</c:v>
                </c:pt>
                <c:pt idx="5">
                  <c:v>57</c:v>
                </c:pt>
                <c:pt idx="6">
                  <c:v>33</c:v>
                </c:pt>
                <c:pt idx="7">
                  <c:v>53</c:v>
                </c:pt>
                <c:pt idx="8">
                  <c:v>0</c:v>
                </c:pt>
                <c:pt idx="9">
                  <c:v>34</c:v>
                </c:pt>
                <c:pt idx="10">
                  <c:v>6</c:v>
                </c:pt>
                <c:pt idx="11">
                  <c:v>0</c:v>
                </c:pt>
                <c:pt idx="12">
                  <c:v>442</c:v>
                </c:pt>
                <c:pt idx="13">
                  <c:v>1010</c:v>
                </c:pt>
                <c:pt idx="14">
                  <c:v>4725</c:v>
                </c:pt>
                <c:pt idx="15">
                  <c:v>6034</c:v>
                </c:pt>
                <c:pt idx="16">
                  <c:v>6608</c:v>
                </c:pt>
                <c:pt idx="17">
                  <c:v>5431</c:v>
                </c:pt>
                <c:pt idx="18">
                  <c:v>5286</c:v>
                </c:pt>
                <c:pt idx="19">
                  <c:v>4292</c:v>
                </c:pt>
                <c:pt idx="20">
                  <c:v>5878</c:v>
                </c:pt>
                <c:pt idx="21">
                  <c:v>4997</c:v>
                </c:pt>
                <c:pt idx="22">
                  <c:v>3619</c:v>
                </c:pt>
                <c:pt idx="23">
                  <c:v>2399</c:v>
                </c:pt>
                <c:pt idx="24">
                  <c:v>5000</c:v>
                </c:pt>
                <c:pt idx="25">
                  <c:v>7261</c:v>
                </c:pt>
                <c:pt idx="26">
                  <c:v>5702</c:v>
                </c:pt>
                <c:pt idx="27">
                  <c:v>5713</c:v>
                </c:pt>
                <c:pt idx="28">
                  <c:v>5372</c:v>
                </c:pt>
                <c:pt idx="29">
                  <c:v>6413</c:v>
                </c:pt>
                <c:pt idx="30">
                  <c:v>8271</c:v>
                </c:pt>
                <c:pt idx="31">
                  <c:v>5106</c:v>
                </c:pt>
                <c:pt idx="32">
                  <c:v>6119</c:v>
                </c:pt>
                <c:pt idx="33">
                  <c:v>6552</c:v>
                </c:pt>
                <c:pt idx="34">
                  <c:v>6799</c:v>
                </c:pt>
                <c:pt idx="35">
                  <c:v>6629</c:v>
                </c:pt>
                <c:pt idx="36">
                  <c:v>4686</c:v>
                </c:pt>
                <c:pt idx="37">
                  <c:v>4122</c:v>
                </c:pt>
                <c:pt idx="38">
                  <c:v>6080</c:v>
                </c:pt>
                <c:pt idx="39">
                  <c:v>4658</c:v>
                </c:pt>
                <c:pt idx="40">
                  <c:v>6962</c:v>
                </c:pt>
                <c:pt idx="41">
                  <c:v>5873</c:v>
                </c:pt>
                <c:pt idx="42">
                  <c:v>6336</c:v>
                </c:pt>
                <c:pt idx="43">
                  <c:v>5117</c:v>
                </c:pt>
                <c:pt idx="44">
                  <c:v>6112</c:v>
                </c:pt>
                <c:pt idx="45">
                  <c:v>7269</c:v>
                </c:pt>
                <c:pt idx="46">
                  <c:v>5898</c:v>
                </c:pt>
                <c:pt idx="47">
                  <c:v>5926</c:v>
                </c:pt>
              </c:numCache>
            </c:numRef>
          </c:val>
        </c:ser>
        <c:marker val="1"/>
        <c:axId val="161647232"/>
        <c:axId val="161661312"/>
      </c:lineChart>
      <c:catAx>
        <c:axId val="161647232"/>
        <c:scaling>
          <c:orientation val="minMax"/>
        </c:scaling>
        <c:axPos val="b"/>
        <c:majorTickMark val="none"/>
        <c:tickLblPos val="nextTo"/>
        <c:txPr>
          <a:bodyPr/>
          <a:lstStyle/>
          <a:p>
            <a:pPr>
              <a:defRPr lang="cs-CZ" sz="800"/>
            </a:pPr>
            <a:endParaRPr lang="de-DE"/>
          </a:p>
        </c:txPr>
        <c:crossAx val="161661312"/>
        <c:crosses val="autoZero"/>
        <c:auto val="1"/>
        <c:lblAlgn val="ctr"/>
        <c:lblOffset val="100"/>
      </c:catAx>
      <c:valAx>
        <c:axId val="161661312"/>
        <c:scaling>
          <c:orientation val="minMax"/>
          <c:max val="12300"/>
          <c:min val="0"/>
        </c:scaling>
        <c:axPos val="l"/>
        <c:majorGridlines/>
        <c:numFmt formatCode="General" sourceLinked="1"/>
        <c:majorTickMark val="none"/>
        <c:tickLblPos val="nextTo"/>
        <c:txPr>
          <a:bodyPr/>
          <a:lstStyle/>
          <a:p>
            <a:pPr>
              <a:defRPr lang="cs-CZ" sz="800"/>
            </a:pPr>
            <a:endParaRPr lang="de-DE"/>
          </a:p>
        </c:txPr>
        <c:crossAx val="161647232"/>
        <c:crosses val="autoZero"/>
        <c:crossBetween val="between"/>
      </c:valAx>
    </c:plotArea>
    <c:legend>
      <c:legendPos val="r"/>
      <c:layout>
        <c:manualLayout>
          <c:xMode val="edge"/>
          <c:yMode val="edge"/>
          <c:x val="0.75819444444444783"/>
          <c:y val="0.20212561971420237"/>
          <c:w val="0.22513888888888889"/>
          <c:h val="0.61727617381160649"/>
        </c:manualLayout>
      </c:layout>
      <c:txPr>
        <a:bodyPr/>
        <a:lstStyle/>
        <a:p>
          <a:pPr>
            <a:defRPr lang="cs-CZ"/>
          </a:pPr>
          <a:endParaRPr lang="de-DE"/>
        </a:p>
      </c:txP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19D7F0-50BF-4116-B254-F13DFA517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8621</Words>
  <Characters>54316</Characters>
  <Application>Microsoft Office Word</Application>
  <DocSecurity>0</DocSecurity>
  <Lines>452</Lines>
  <Paragraphs>125</Paragraphs>
  <ScaleCrop>false</ScaleCrop>
  <HeadingPairs>
    <vt:vector size="2" baseType="variant">
      <vt:variant>
        <vt:lpstr>Titel</vt:lpstr>
      </vt:variant>
      <vt:variant>
        <vt:i4>1</vt:i4>
      </vt:variant>
    </vt:vector>
  </HeadingPairs>
  <TitlesOfParts>
    <vt:vector size="1" baseType="lpstr">
      <vt:lpstr>University of Graz</vt:lpstr>
    </vt:vector>
  </TitlesOfParts>
  <Company>CZU</Company>
  <LinksUpToDate>false</LinksUpToDate>
  <CharactersWithSpaces>62812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University of Graz</dc:title>
  <dc:creator>C22-10</dc:creator>
  <cp:lastModifiedBy>Yucca</cp:lastModifiedBy>
  <cp:revision>15</cp:revision>
  <dcterms:created xsi:type="dcterms:W3CDTF">2011-05-29T14:35:00Z</dcterms:created>
  <dcterms:modified xsi:type="dcterms:W3CDTF">2011-05-29T20:27:00Z</dcterms:modified>
</cp:coreProperties>
</file>